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2972"/>
        <w:gridCol w:w="6044"/>
      </w:tblGrid>
      <w:tr w:rsidR="00BB1AA1" w:rsidTr="007450B1">
        <w:tc>
          <w:tcPr>
            <w:tcW w:w="2972" w:type="dxa"/>
            <w:shd w:val="clear" w:color="auto" w:fill="BDD6EE" w:themeFill="accent1" w:themeFillTint="66"/>
          </w:tcPr>
          <w:p w:rsidR="00BB1AA1" w:rsidRPr="007450B1" w:rsidRDefault="00F2342B" w:rsidP="00BB1AA1">
            <w:pPr>
              <w:rPr>
                <w:rFonts w:cstheme="minorHAnsi"/>
                <w:b/>
                <w:sz w:val="24"/>
                <w:szCs w:val="24"/>
              </w:rPr>
            </w:pPr>
            <w:r w:rsidRPr="007450B1">
              <w:rPr>
                <w:rFonts w:cstheme="minorHAnsi"/>
                <w:b/>
                <w:sz w:val="24"/>
                <w:szCs w:val="24"/>
              </w:rPr>
              <w:t>Revision number</w:t>
            </w:r>
            <w:r w:rsidR="00BB1AA1" w:rsidRPr="007450B1">
              <w:rPr>
                <w:rFonts w:cstheme="minorHAnsi"/>
                <w:b/>
                <w:sz w:val="24"/>
                <w:szCs w:val="24"/>
              </w:rPr>
              <w:t>:</w:t>
            </w:r>
          </w:p>
        </w:tc>
        <w:tc>
          <w:tcPr>
            <w:tcW w:w="6044" w:type="dxa"/>
          </w:tcPr>
          <w:p w:rsidR="00BB1AA1" w:rsidRPr="009B47B3" w:rsidRDefault="00723CCE" w:rsidP="00BB1AA1">
            <w:pPr>
              <w:rPr>
                <w:rFonts w:cstheme="minorHAnsi"/>
                <w:sz w:val="24"/>
              </w:rPr>
            </w:pPr>
            <w:r>
              <w:rPr>
                <w:rFonts w:cstheme="minorHAnsi"/>
                <w:sz w:val="24"/>
              </w:rPr>
              <w:t>1</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Applicable from:</w:t>
            </w:r>
          </w:p>
        </w:tc>
        <w:tc>
          <w:tcPr>
            <w:tcW w:w="6044" w:type="dxa"/>
          </w:tcPr>
          <w:p w:rsidR="00BB1AA1" w:rsidRPr="009B47B3" w:rsidRDefault="00A9680D" w:rsidP="00BB1AA1">
            <w:pPr>
              <w:rPr>
                <w:rFonts w:cstheme="minorHAnsi"/>
                <w:sz w:val="24"/>
              </w:rPr>
            </w:pPr>
            <w:r>
              <w:rPr>
                <w:rFonts w:cstheme="minorHAnsi"/>
                <w:sz w:val="24"/>
              </w:rPr>
              <w:t>31</w:t>
            </w:r>
            <w:r w:rsidRPr="00A9680D">
              <w:rPr>
                <w:rFonts w:cstheme="minorHAnsi"/>
                <w:sz w:val="24"/>
                <w:vertAlign w:val="superscript"/>
              </w:rPr>
              <w:t>st</w:t>
            </w:r>
            <w:r>
              <w:rPr>
                <w:rFonts w:cstheme="minorHAnsi"/>
                <w:sz w:val="24"/>
              </w:rPr>
              <w:t xml:space="preserve"> March 2023</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Approved by:</w:t>
            </w:r>
          </w:p>
        </w:tc>
        <w:tc>
          <w:tcPr>
            <w:tcW w:w="6044" w:type="dxa"/>
          </w:tcPr>
          <w:p w:rsidR="00BB1AA1" w:rsidRPr="009B47B3" w:rsidRDefault="00723CCE" w:rsidP="00BB1AA1">
            <w:pPr>
              <w:rPr>
                <w:rFonts w:cstheme="minorHAnsi"/>
                <w:sz w:val="24"/>
              </w:rPr>
            </w:pPr>
            <w:r>
              <w:rPr>
                <w:rFonts w:cstheme="minorHAnsi"/>
                <w:sz w:val="24"/>
              </w:rPr>
              <w:t>Academic Council</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Date of approval:</w:t>
            </w:r>
          </w:p>
        </w:tc>
        <w:tc>
          <w:tcPr>
            <w:tcW w:w="6044" w:type="dxa"/>
          </w:tcPr>
          <w:p w:rsidR="00BB1AA1" w:rsidRPr="009B47B3" w:rsidRDefault="00A9680D" w:rsidP="00BB1AA1">
            <w:pPr>
              <w:rPr>
                <w:rFonts w:cstheme="minorHAnsi"/>
                <w:sz w:val="24"/>
              </w:rPr>
            </w:pPr>
            <w:r>
              <w:rPr>
                <w:rFonts w:cstheme="minorHAnsi"/>
                <w:sz w:val="24"/>
              </w:rPr>
              <w:t>31</w:t>
            </w:r>
            <w:r w:rsidRPr="00A9680D">
              <w:rPr>
                <w:rFonts w:cstheme="minorHAnsi"/>
                <w:sz w:val="24"/>
                <w:vertAlign w:val="superscript"/>
              </w:rPr>
              <w:t>st</w:t>
            </w:r>
            <w:r>
              <w:rPr>
                <w:rFonts w:cstheme="minorHAnsi"/>
                <w:sz w:val="24"/>
              </w:rPr>
              <w:t xml:space="preserve"> March 2023</w:t>
            </w:r>
          </w:p>
        </w:tc>
      </w:tr>
      <w:tr w:rsidR="00535066" w:rsidTr="007450B1">
        <w:tc>
          <w:tcPr>
            <w:tcW w:w="2972" w:type="dxa"/>
            <w:shd w:val="clear" w:color="auto" w:fill="BDD6EE" w:themeFill="accent1" w:themeFillTint="66"/>
          </w:tcPr>
          <w:p w:rsidR="00535066" w:rsidRPr="007450B1" w:rsidRDefault="00535066" w:rsidP="00BB1AA1">
            <w:pPr>
              <w:rPr>
                <w:rFonts w:cstheme="minorHAnsi"/>
                <w:b/>
                <w:sz w:val="24"/>
                <w:szCs w:val="24"/>
              </w:rPr>
            </w:pPr>
            <w:r>
              <w:rPr>
                <w:rFonts w:cstheme="minorHAnsi"/>
                <w:b/>
                <w:sz w:val="24"/>
                <w:szCs w:val="24"/>
              </w:rPr>
              <w:t>Date of next review:</w:t>
            </w:r>
          </w:p>
        </w:tc>
        <w:tc>
          <w:tcPr>
            <w:tcW w:w="6044" w:type="dxa"/>
          </w:tcPr>
          <w:p w:rsidR="00535066" w:rsidRDefault="00535066" w:rsidP="00BB1AA1">
            <w:pPr>
              <w:rPr>
                <w:rFonts w:cstheme="minorHAnsi"/>
                <w:sz w:val="24"/>
              </w:rPr>
            </w:pPr>
            <w:r>
              <w:rPr>
                <w:rFonts w:cstheme="minorHAnsi"/>
                <w:sz w:val="24"/>
              </w:rPr>
              <w:t>June 2024</w:t>
            </w:r>
          </w:p>
        </w:tc>
      </w:tr>
      <w:tr w:rsidR="00BB68CE" w:rsidTr="007450B1">
        <w:tc>
          <w:tcPr>
            <w:tcW w:w="2972" w:type="dxa"/>
            <w:shd w:val="clear" w:color="auto" w:fill="BDD6EE" w:themeFill="accent1" w:themeFillTint="66"/>
          </w:tcPr>
          <w:p w:rsidR="00BB68CE" w:rsidRPr="007450B1" w:rsidRDefault="00BB68CE" w:rsidP="00BB1AA1">
            <w:pPr>
              <w:rPr>
                <w:rFonts w:cstheme="minorHAnsi"/>
                <w:b/>
                <w:sz w:val="24"/>
                <w:szCs w:val="24"/>
              </w:rPr>
            </w:pPr>
            <w:r w:rsidRPr="007450B1">
              <w:rPr>
                <w:rFonts w:cstheme="minorHAnsi"/>
                <w:b/>
                <w:sz w:val="24"/>
                <w:szCs w:val="24"/>
              </w:rPr>
              <w:t>Scope of policy (audience):</w:t>
            </w:r>
          </w:p>
        </w:tc>
        <w:tc>
          <w:tcPr>
            <w:tcW w:w="6044" w:type="dxa"/>
          </w:tcPr>
          <w:p w:rsidR="00BB68CE" w:rsidRPr="009B47B3" w:rsidRDefault="00723CCE" w:rsidP="00BB1AA1">
            <w:pPr>
              <w:rPr>
                <w:rFonts w:cstheme="minorHAnsi"/>
                <w:sz w:val="24"/>
              </w:rPr>
            </w:pPr>
            <w:r>
              <w:rPr>
                <w:rFonts w:cstheme="minorHAnsi"/>
                <w:sz w:val="24"/>
              </w:rPr>
              <w:t>Higher Education students and applicants</w:t>
            </w:r>
          </w:p>
        </w:tc>
      </w:tr>
      <w:tr w:rsidR="00BB1AA1" w:rsidTr="007450B1">
        <w:tc>
          <w:tcPr>
            <w:tcW w:w="2972" w:type="dxa"/>
            <w:shd w:val="clear" w:color="auto" w:fill="BDD6EE" w:themeFill="accent1" w:themeFillTint="66"/>
          </w:tcPr>
          <w:p w:rsidR="00BB1AA1" w:rsidRPr="007450B1" w:rsidRDefault="00BB1AA1" w:rsidP="00BB1AA1">
            <w:pPr>
              <w:rPr>
                <w:rFonts w:cstheme="minorHAnsi"/>
                <w:b/>
                <w:sz w:val="24"/>
                <w:szCs w:val="24"/>
              </w:rPr>
            </w:pPr>
            <w:r w:rsidRPr="007450B1">
              <w:rPr>
                <w:rFonts w:cstheme="minorHAnsi"/>
                <w:b/>
                <w:sz w:val="24"/>
                <w:szCs w:val="24"/>
              </w:rPr>
              <w:t>Policy</w:t>
            </w:r>
            <w:r w:rsidR="00BB68CE" w:rsidRPr="007450B1">
              <w:rPr>
                <w:rFonts w:cstheme="minorHAnsi"/>
                <w:b/>
                <w:sz w:val="24"/>
                <w:szCs w:val="24"/>
              </w:rPr>
              <w:t>holder:</w:t>
            </w:r>
          </w:p>
        </w:tc>
        <w:tc>
          <w:tcPr>
            <w:tcW w:w="6044" w:type="dxa"/>
          </w:tcPr>
          <w:p w:rsidR="00BB1AA1" w:rsidRPr="009B47B3" w:rsidRDefault="00723CCE" w:rsidP="00BB1AA1">
            <w:pPr>
              <w:rPr>
                <w:rFonts w:cstheme="minorHAnsi"/>
                <w:sz w:val="24"/>
              </w:rPr>
            </w:pPr>
            <w:r>
              <w:rPr>
                <w:rFonts w:cstheme="minorHAnsi"/>
                <w:sz w:val="24"/>
              </w:rPr>
              <w:t>Head of Registry</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Contact:</w:t>
            </w:r>
          </w:p>
        </w:tc>
        <w:tc>
          <w:tcPr>
            <w:tcW w:w="6044" w:type="dxa"/>
          </w:tcPr>
          <w:p w:rsidR="00F2342B" w:rsidRPr="009B47B3" w:rsidRDefault="005C6101" w:rsidP="00BB1AA1">
            <w:pPr>
              <w:rPr>
                <w:rFonts w:cstheme="minorHAnsi"/>
                <w:sz w:val="24"/>
              </w:rPr>
            </w:pPr>
            <w:hyperlink r:id="rId8" w:history="1">
              <w:r w:rsidR="00A9680D" w:rsidRPr="006417E7">
                <w:rPr>
                  <w:rStyle w:val="Hyperlink"/>
                  <w:rFonts w:cstheme="minorHAnsi"/>
                  <w:sz w:val="24"/>
                </w:rPr>
                <w:t>q</w:t>
              </w:r>
              <w:r w:rsidR="00A9680D" w:rsidRPr="006417E7">
                <w:rPr>
                  <w:rStyle w:val="Hyperlink"/>
                  <w:sz w:val="24"/>
                </w:rPr>
                <w:t>uality@leedsconservatoire.ac.uk</w:t>
              </w:r>
            </w:hyperlink>
            <w:r w:rsidR="00F2342B" w:rsidRPr="009B47B3">
              <w:rPr>
                <w:rFonts w:cstheme="minorHAnsi"/>
                <w:sz w:val="24"/>
              </w:rPr>
              <w:t xml:space="preserve"> </w:t>
            </w:r>
          </w:p>
        </w:tc>
      </w:tr>
      <w:tr w:rsidR="00F2342B" w:rsidTr="007450B1">
        <w:tc>
          <w:tcPr>
            <w:tcW w:w="2972" w:type="dxa"/>
            <w:shd w:val="clear" w:color="auto" w:fill="BDD6EE" w:themeFill="accent1" w:themeFillTint="66"/>
          </w:tcPr>
          <w:p w:rsidR="00F2342B" w:rsidRPr="007450B1" w:rsidRDefault="00F2342B" w:rsidP="00BB1AA1">
            <w:pPr>
              <w:rPr>
                <w:rFonts w:cstheme="minorHAnsi"/>
                <w:b/>
                <w:sz w:val="24"/>
                <w:szCs w:val="24"/>
              </w:rPr>
            </w:pPr>
            <w:r w:rsidRPr="007450B1">
              <w:rPr>
                <w:rFonts w:cstheme="minorHAnsi"/>
                <w:b/>
                <w:sz w:val="24"/>
                <w:szCs w:val="24"/>
              </w:rPr>
              <w:t>Alternative formats:</w:t>
            </w:r>
          </w:p>
        </w:tc>
        <w:tc>
          <w:tcPr>
            <w:tcW w:w="6044" w:type="dxa"/>
          </w:tcPr>
          <w:p w:rsidR="00F2342B" w:rsidRPr="009B47B3" w:rsidRDefault="00723CCE" w:rsidP="00BB1AA1">
            <w:pPr>
              <w:rPr>
                <w:rFonts w:cstheme="minorHAnsi"/>
                <w:sz w:val="24"/>
              </w:rPr>
            </w:pPr>
            <w:r>
              <w:rPr>
                <w:rFonts w:cstheme="minorHAnsi"/>
                <w:sz w:val="24"/>
              </w:rPr>
              <w:t>Audio, large font</w:t>
            </w:r>
            <w:r w:rsidR="009F366C">
              <w:rPr>
                <w:rFonts w:cstheme="minorHAnsi"/>
                <w:sz w:val="24"/>
              </w:rPr>
              <w:t xml:space="preserve"> – on request</w:t>
            </w:r>
          </w:p>
        </w:tc>
      </w:tr>
    </w:tbl>
    <w:p w:rsidR="00BB1AA1" w:rsidRDefault="00BB1AA1" w:rsidP="00BB1AA1">
      <w:pPr>
        <w:spacing w:after="0" w:line="240" w:lineRule="auto"/>
        <w:rPr>
          <w:rFonts w:ascii="Rama Gothic E Regular" w:hAnsi="Rama Gothic E Regular"/>
          <w:sz w:val="40"/>
        </w:rPr>
      </w:pPr>
    </w:p>
    <w:sdt>
      <w:sdtPr>
        <w:rPr>
          <w:rFonts w:asciiTheme="minorHAnsi" w:eastAsiaTheme="minorHAnsi" w:hAnsiTheme="minorHAnsi" w:cstheme="minorBidi"/>
          <w:color w:val="auto"/>
          <w:sz w:val="22"/>
          <w:szCs w:val="22"/>
          <w:lang w:val="en-GB"/>
        </w:rPr>
        <w:id w:val="1875571900"/>
        <w:docPartObj>
          <w:docPartGallery w:val="Table of Contents"/>
          <w:docPartUnique/>
        </w:docPartObj>
      </w:sdtPr>
      <w:sdtEndPr>
        <w:rPr>
          <w:b/>
          <w:bCs/>
          <w:noProof/>
        </w:rPr>
      </w:sdtEndPr>
      <w:sdtContent>
        <w:p w:rsidR="00BB68CE" w:rsidRPr="004A14B1" w:rsidRDefault="00BB68CE">
          <w:pPr>
            <w:pStyle w:val="TOCHeading"/>
            <w:rPr>
              <w:rFonts w:ascii="Rama Gothic E Regular" w:hAnsi="Rama Gothic E Regular"/>
              <w:b/>
              <w:color w:val="1F4E79" w:themeColor="accent1" w:themeShade="80"/>
            </w:rPr>
          </w:pPr>
          <w:r w:rsidRPr="004A14B1">
            <w:rPr>
              <w:rFonts w:ascii="Rama Gothic E Regular" w:hAnsi="Rama Gothic E Regular"/>
              <w:b/>
              <w:color w:val="1F4E79" w:themeColor="accent1" w:themeShade="80"/>
            </w:rPr>
            <w:t>Contents</w:t>
          </w:r>
        </w:p>
        <w:p w:rsidR="009F366C" w:rsidRPr="009F366C" w:rsidRDefault="00BB68CE">
          <w:pPr>
            <w:pStyle w:val="TOC1"/>
            <w:tabs>
              <w:tab w:val="right" w:leader="dot" w:pos="9016"/>
            </w:tabs>
            <w:rPr>
              <w:rFonts w:eastAsiaTheme="minorEastAsia" w:cstheme="minorHAnsi"/>
              <w:noProof/>
              <w:lang w:eastAsia="en-GB"/>
            </w:rPr>
          </w:pPr>
          <w:r w:rsidRPr="00CA28CE">
            <w:rPr>
              <w:rFonts w:cstheme="minorHAnsi"/>
              <w:bCs/>
              <w:noProof/>
            </w:rPr>
            <w:fldChar w:fldCharType="begin"/>
          </w:r>
          <w:r w:rsidRPr="00CA28CE">
            <w:rPr>
              <w:rFonts w:cstheme="minorHAnsi"/>
              <w:bCs/>
              <w:noProof/>
            </w:rPr>
            <w:instrText xml:space="preserve"> TOC \o "1-3" \h \z \u </w:instrText>
          </w:r>
          <w:r w:rsidRPr="00CA28CE">
            <w:rPr>
              <w:rFonts w:cstheme="minorHAnsi"/>
              <w:bCs/>
              <w:noProof/>
            </w:rPr>
            <w:fldChar w:fldCharType="separate"/>
          </w:r>
          <w:hyperlink w:anchor="_Toc15540311" w:history="1">
            <w:r w:rsidR="009F366C" w:rsidRPr="009F366C">
              <w:rPr>
                <w:rStyle w:val="Hyperlink"/>
                <w:rFonts w:cstheme="minorHAnsi"/>
                <w:noProof/>
              </w:rPr>
              <w:t>Introduction</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_Toc15540311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5C6101">
          <w:pPr>
            <w:pStyle w:val="TOC1"/>
            <w:tabs>
              <w:tab w:val="right" w:leader="dot" w:pos="9016"/>
            </w:tabs>
            <w:rPr>
              <w:rFonts w:eastAsiaTheme="minorEastAsia" w:cstheme="minorHAnsi"/>
              <w:noProof/>
              <w:lang w:eastAsia="en-GB"/>
            </w:rPr>
          </w:pPr>
          <w:hyperlink w:anchor="_Toc15540312" w:history="1">
            <w:r w:rsidR="009F366C" w:rsidRPr="009F366C">
              <w:rPr>
                <w:rStyle w:val="Hyperlink"/>
                <w:rFonts w:cstheme="minorHAnsi"/>
                <w:noProof/>
              </w:rPr>
              <w:t>Equality Impact Assessment Information</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_Toc15540312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5C6101">
          <w:pPr>
            <w:pStyle w:val="TOC1"/>
            <w:tabs>
              <w:tab w:val="right" w:leader="dot" w:pos="9016"/>
            </w:tabs>
            <w:rPr>
              <w:rFonts w:eastAsiaTheme="minorEastAsia" w:cstheme="minorHAnsi"/>
              <w:noProof/>
              <w:lang w:eastAsia="en-GB"/>
            </w:rPr>
          </w:pPr>
          <w:hyperlink w:anchor="_Toc15540313" w:history="1">
            <w:r w:rsidR="009F366C" w:rsidRPr="009F366C">
              <w:rPr>
                <w:rStyle w:val="Hyperlink"/>
                <w:rFonts w:cstheme="minorHAnsi"/>
                <w:noProof/>
              </w:rPr>
              <w:t>Definitions</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_Toc15540313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5C6101">
          <w:pPr>
            <w:pStyle w:val="TOC1"/>
            <w:tabs>
              <w:tab w:val="right" w:leader="dot" w:pos="9016"/>
            </w:tabs>
            <w:rPr>
              <w:rFonts w:eastAsiaTheme="minorEastAsia" w:cstheme="minorHAnsi"/>
              <w:noProof/>
              <w:lang w:eastAsia="en-GB"/>
            </w:rPr>
          </w:pPr>
          <w:hyperlink w:anchor="_Toc15540314" w:history="1">
            <w:r w:rsidR="009F366C" w:rsidRPr="009F366C">
              <w:rPr>
                <w:rStyle w:val="Hyperlink"/>
                <w:rFonts w:cstheme="minorHAnsi"/>
                <w:noProof/>
              </w:rPr>
              <w:t>Policy</w:t>
            </w:r>
            <w:r w:rsidR="009F366C" w:rsidRPr="009F366C">
              <w:rPr>
                <w:rFonts w:cstheme="minorHAnsi"/>
                <w:noProof/>
                <w:webHidden/>
              </w:rPr>
              <w:tab/>
            </w:r>
            <w:r w:rsidR="009F366C" w:rsidRPr="009F366C">
              <w:rPr>
                <w:rFonts w:cstheme="minorHAnsi"/>
                <w:noProof/>
                <w:webHidden/>
              </w:rPr>
              <w:fldChar w:fldCharType="begin"/>
            </w:r>
            <w:r w:rsidR="009F366C" w:rsidRPr="009F366C">
              <w:rPr>
                <w:rFonts w:cstheme="minorHAnsi"/>
                <w:noProof/>
                <w:webHidden/>
              </w:rPr>
              <w:instrText xml:space="preserve"> PAGEREF _Toc15540314 \h </w:instrText>
            </w:r>
            <w:r w:rsidR="009F366C" w:rsidRPr="009F366C">
              <w:rPr>
                <w:rFonts w:cstheme="minorHAnsi"/>
                <w:noProof/>
                <w:webHidden/>
              </w:rPr>
            </w:r>
            <w:r w:rsidR="009F366C" w:rsidRPr="009F366C">
              <w:rPr>
                <w:rFonts w:cstheme="minorHAnsi"/>
                <w:noProof/>
                <w:webHidden/>
              </w:rPr>
              <w:fldChar w:fldCharType="separate"/>
            </w:r>
            <w:r w:rsidR="00A31663">
              <w:rPr>
                <w:rFonts w:cstheme="minorHAnsi"/>
                <w:noProof/>
                <w:webHidden/>
              </w:rPr>
              <w:t>2</w:t>
            </w:r>
            <w:r w:rsidR="009F366C" w:rsidRPr="009F366C">
              <w:rPr>
                <w:rFonts w:cstheme="minorHAnsi"/>
                <w:noProof/>
                <w:webHidden/>
              </w:rPr>
              <w:fldChar w:fldCharType="end"/>
            </w:r>
          </w:hyperlink>
        </w:p>
        <w:p w:rsidR="009F366C" w:rsidRPr="009F366C" w:rsidRDefault="005C6101">
          <w:pPr>
            <w:pStyle w:val="TOC1"/>
            <w:tabs>
              <w:tab w:val="right" w:leader="dot" w:pos="9016"/>
            </w:tabs>
            <w:rPr>
              <w:rFonts w:eastAsiaTheme="minorEastAsia" w:cstheme="minorHAnsi"/>
              <w:noProof/>
              <w:lang w:eastAsia="en-GB"/>
            </w:rPr>
          </w:pPr>
          <w:hyperlink w:anchor="_Toc15540316" w:history="1">
            <w:r w:rsidR="009F366C" w:rsidRPr="009F366C">
              <w:rPr>
                <w:rStyle w:val="Hyperlink"/>
                <w:rFonts w:cstheme="minorHAnsi"/>
                <w:noProof/>
              </w:rPr>
              <w:t>Breach of Policy</w:t>
            </w:r>
            <w:r w:rsidR="009F366C" w:rsidRPr="009F366C">
              <w:rPr>
                <w:rFonts w:cstheme="minorHAnsi"/>
                <w:noProof/>
                <w:webHidden/>
              </w:rPr>
              <w:tab/>
            </w:r>
            <w:r w:rsidR="00723CCE">
              <w:rPr>
                <w:rFonts w:cstheme="minorHAnsi"/>
                <w:noProof/>
                <w:webHidden/>
              </w:rPr>
              <w:t>4</w:t>
            </w:r>
          </w:hyperlink>
        </w:p>
        <w:p w:rsidR="00BB68CE" w:rsidRDefault="00BB68CE">
          <w:r w:rsidRPr="00CA28CE">
            <w:rPr>
              <w:rFonts w:cstheme="minorHAnsi"/>
              <w:bCs/>
              <w:noProof/>
            </w:rPr>
            <w:fldChar w:fldCharType="end"/>
          </w:r>
        </w:p>
      </w:sdtContent>
    </w:sdt>
    <w:p w:rsidR="00BB1AA1" w:rsidRDefault="00BB1AA1"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C67EE6" w:rsidRDefault="00C67EE6"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9F366C" w:rsidRDefault="009F366C"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p w:rsidR="00BB68CE" w:rsidRDefault="00BB68CE" w:rsidP="00BB1AA1">
      <w:pPr>
        <w:spacing w:after="0" w:line="240" w:lineRule="auto"/>
        <w:rPr>
          <w:rFonts w:ascii="Rama Gothic E Regular" w:hAnsi="Rama Gothic E Regular"/>
          <w:sz w:val="40"/>
        </w:rPr>
      </w:pPr>
    </w:p>
    <w:tbl>
      <w:tblPr>
        <w:tblStyle w:val="TableGrid"/>
        <w:tblW w:w="0" w:type="auto"/>
        <w:tblLook w:val="04A0" w:firstRow="1" w:lastRow="0" w:firstColumn="1" w:lastColumn="0" w:noHBand="0" w:noVBand="1"/>
      </w:tblPr>
      <w:tblGrid>
        <w:gridCol w:w="9016"/>
      </w:tblGrid>
      <w:tr w:rsidR="00BB68CE" w:rsidTr="00BB68CE">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24"/>
                <w:szCs w:val="24"/>
              </w:rPr>
            </w:pPr>
            <w:bookmarkStart w:id="0" w:name="_Toc15540311"/>
            <w:r w:rsidRPr="004E68A1">
              <w:rPr>
                <w:rFonts w:asciiTheme="minorHAnsi" w:hAnsiTheme="minorHAnsi" w:cstheme="minorHAnsi"/>
                <w:b/>
                <w:color w:val="auto"/>
                <w:sz w:val="24"/>
                <w:szCs w:val="24"/>
              </w:rPr>
              <w:lastRenderedPageBreak/>
              <w:t>Introduction</w:t>
            </w:r>
            <w:bookmarkEnd w:id="0"/>
          </w:p>
        </w:tc>
      </w:tr>
      <w:tr w:rsidR="00BB68CE" w:rsidTr="00BB68CE">
        <w:tc>
          <w:tcPr>
            <w:tcW w:w="9016" w:type="dxa"/>
          </w:tcPr>
          <w:p w:rsidR="00723CCE" w:rsidRDefault="00723CCE" w:rsidP="009F366C">
            <w:r>
              <w:t xml:space="preserve">Leeds </w:t>
            </w:r>
            <w:r w:rsidR="005C6101">
              <w:t>Conservatoire</w:t>
            </w:r>
            <w:r>
              <w:t xml:space="preserve"> is committed to protecting the consumer rights of its students and ensuring that students receive the education they are entitled to expect as a student of the conservatoire. In the rare event that the conservatoire falls short of or is unable to meet its obligations, students are entitled to make a complaint via the conservatoire’s Complaints Policy. </w:t>
            </w:r>
          </w:p>
          <w:p w:rsidR="00723CCE" w:rsidRDefault="00723CCE" w:rsidP="009F366C"/>
          <w:p w:rsidR="009F366C" w:rsidRDefault="00723CCE" w:rsidP="009F366C">
            <w:r>
              <w:t>Whilst refunds and compensations will not always be an appropriate remedy to complaints, the conservatoire will consider refunds and compensation as a remedy to complaints where appropriate and in accordance with the Refunds and Compensation Policy. Claims for refunds and compensation by students will be considered in a fair, transparent, and consistent manner.</w:t>
            </w:r>
          </w:p>
          <w:p w:rsidR="00723CCE" w:rsidRDefault="00723CCE" w:rsidP="009F366C">
            <w:pPr>
              <w:rPr>
                <w:rFonts w:cstheme="minorHAnsi"/>
              </w:rPr>
            </w:pPr>
          </w:p>
          <w:p w:rsidR="00723CCE" w:rsidRDefault="00723CCE" w:rsidP="009F366C">
            <w:r>
              <w:t>As a registered provider of higher education, Leeds Co</w:t>
            </w:r>
            <w:r w:rsidR="005C6101">
              <w:t>nservatoire</w:t>
            </w:r>
            <w:bookmarkStart w:id="1" w:name="_GoBack"/>
            <w:bookmarkEnd w:id="1"/>
            <w:r>
              <w:t xml:space="preserve"> has published a Student Protection Plan which provides assurance to current and future students, and the Office for Students (</w:t>
            </w:r>
            <w:proofErr w:type="spellStart"/>
            <w:r>
              <w:t>OfS</w:t>
            </w:r>
            <w:proofErr w:type="spellEnd"/>
            <w:r>
              <w:t xml:space="preserve">), that we have in place appropriate arrangements to protect the quality and continuation of study for all of our students. </w:t>
            </w:r>
          </w:p>
          <w:p w:rsidR="00723CCE" w:rsidRDefault="00723CCE" w:rsidP="009F366C"/>
          <w:p w:rsidR="00723CCE" w:rsidRDefault="00723CCE" w:rsidP="009F366C">
            <w:r>
              <w:t xml:space="preserve">In addition to the Student Protection Plan, the conservatoire is required to publish a refunds and compensation policy that sets out the circumstances under which the conservatoire will refund tuition fees and other relevant costs to students, and provide compensation where necessary should the conservatoire be unable to preserve the continuation of study. </w:t>
            </w:r>
          </w:p>
          <w:p w:rsidR="00723CCE" w:rsidRDefault="00723CCE" w:rsidP="009F366C"/>
          <w:p w:rsidR="00723CCE" w:rsidRPr="009F366C" w:rsidRDefault="00723CCE" w:rsidP="009F366C">
            <w:pPr>
              <w:rPr>
                <w:rFonts w:cstheme="minorHAnsi"/>
              </w:rPr>
            </w:pPr>
            <w:r>
              <w:t>This policy aims to not only meet this requirement, but also provide transparency for students as to how claims for refunds and compensation will be considered in the general context of complaints.</w:t>
            </w: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2" w:name="_Toc15540312"/>
            <w:r w:rsidRPr="004E68A1">
              <w:rPr>
                <w:rFonts w:asciiTheme="minorHAnsi" w:hAnsiTheme="minorHAnsi" w:cstheme="minorHAnsi"/>
                <w:b/>
                <w:color w:val="auto"/>
                <w:sz w:val="24"/>
              </w:rPr>
              <w:t>Equality Impact Assessment Information</w:t>
            </w:r>
            <w:bookmarkEnd w:id="2"/>
          </w:p>
        </w:tc>
      </w:tr>
      <w:tr w:rsidR="00BB68CE" w:rsidTr="00657E2B">
        <w:tc>
          <w:tcPr>
            <w:tcW w:w="9016" w:type="dxa"/>
          </w:tcPr>
          <w:p w:rsidR="009F366C" w:rsidRPr="009F366C" w:rsidRDefault="009F366C" w:rsidP="009F366C">
            <w:pPr>
              <w:rPr>
                <w:rFonts w:cstheme="minorHAnsi"/>
              </w:rPr>
            </w:pPr>
          </w:p>
          <w:p w:rsidR="00BB68CE" w:rsidRDefault="007450B1" w:rsidP="007450B1">
            <w:pPr>
              <w:pStyle w:val="ListParagraph"/>
              <w:numPr>
                <w:ilvl w:val="0"/>
                <w:numId w:val="4"/>
              </w:numPr>
              <w:rPr>
                <w:rFonts w:cstheme="minorHAnsi"/>
              </w:rPr>
            </w:pPr>
            <w:r>
              <w:rPr>
                <w:rFonts w:cstheme="minorHAnsi"/>
              </w:rPr>
              <w:t>e.g. Impact Assessment to be completed by July 2008</w:t>
            </w:r>
          </w:p>
          <w:p w:rsidR="009F366C" w:rsidRPr="009F366C" w:rsidRDefault="009F366C" w:rsidP="009F366C">
            <w:pPr>
              <w:rPr>
                <w:rFonts w:cstheme="minorHAnsi"/>
              </w:rPr>
            </w:pPr>
          </w:p>
        </w:tc>
      </w:tr>
    </w:tbl>
    <w:p w:rsidR="00BB68CE" w:rsidRPr="00BB68CE"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3" w:name="_Toc15540313"/>
            <w:r w:rsidRPr="004E68A1">
              <w:rPr>
                <w:rFonts w:asciiTheme="minorHAnsi" w:hAnsiTheme="minorHAnsi" w:cstheme="minorHAnsi"/>
                <w:b/>
                <w:color w:val="auto"/>
                <w:sz w:val="24"/>
              </w:rPr>
              <w:t>Definitions</w:t>
            </w:r>
            <w:bookmarkEnd w:id="3"/>
          </w:p>
        </w:tc>
      </w:tr>
      <w:tr w:rsidR="00BB68CE" w:rsidTr="00657E2B">
        <w:tc>
          <w:tcPr>
            <w:tcW w:w="9016" w:type="dxa"/>
          </w:tcPr>
          <w:p w:rsidR="009F366C" w:rsidRPr="009F366C" w:rsidRDefault="009F366C" w:rsidP="009F366C">
            <w:pPr>
              <w:rPr>
                <w:rFonts w:cstheme="minorHAnsi"/>
              </w:rPr>
            </w:pPr>
          </w:p>
          <w:p w:rsidR="00BB68CE" w:rsidRDefault="007450B1" w:rsidP="007450B1">
            <w:pPr>
              <w:pStyle w:val="ListParagraph"/>
              <w:numPr>
                <w:ilvl w:val="0"/>
                <w:numId w:val="3"/>
              </w:numPr>
              <w:rPr>
                <w:rFonts w:cstheme="minorHAnsi"/>
              </w:rPr>
            </w:pPr>
            <w:r>
              <w:rPr>
                <w:rFonts w:cstheme="minorHAnsi"/>
              </w:rPr>
              <w:t>Define key terminology of policy</w:t>
            </w:r>
          </w:p>
          <w:p w:rsidR="009F366C" w:rsidRPr="009F366C" w:rsidRDefault="009F366C" w:rsidP="009F366C">
            <w:pPr>
              <w:rPr>
                <w:rFonts w:cstheme="minorHAnsi"/>
              </w:rPr>
            </w:pPr>
          </w:p>
        </w:tc>
      </w:tr>
    </w:tbl>
    <w:p w:rsidR="00CA28CE" w:rsidRPr="00BB68CE" w:rsidRDefault="00CA2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BB68CE" w:rsidTr="00657E2B">
        <w:tc>
          <w:tcPr>
            <w:tcW w:w="9016" w:type="dxa"/>
            <w:shd w:val="clear" w:color="auto" w:fill="BDD6EE" w:themeFill="accent1" w:themeFillTint="66"/>
          </w:tcPr>
          <w:p w:rsidR="00BB68CE" w:rsidRPr="004E68A1" w:rsidRDefault="00BB68CE" w:rsidP="00F2342B">
            <w:pPr>
              <w:pStyle w:val="Heading1"/>
              <w:spacing w:before="0" w:line="360" w:lineRule="auto"/>
              <w:outlineLvl w:val="0"/>
              <w:rPr>
                <w:rFonts w:asciiTheme="minorHAnsi" w:hAnsiTheme="minorHAnsi" w:cstheme="minorHAnsi"/>
                <w:b/>
                <w:sz w:val="40"/>
              </w:rPr>
            </w:pPr>
            <w:bookmarkStart w:id="4" w:name="_Toc15540314"/>
            <w:r w:rsidRPr="004E68A1">
              <w:rPr>
                <w:rFonts w:asciiTheme="minorHAnsi" w:hAnsiTheme="minorHAnsi" w:cstheme="minorHAnsi"/>
                <w:b/>
                <w:color w:val="auto"/>
                <w:sz w:val="24"/>
              </w:rPr>
              <w:t>Policy</w:t>
            </w:r>
            <w:bookmarkEnd w:id="4"/>
          </w:p>
        </w:tc>
      </w:tr>
      <w:tr w:rsidR="00BB68CE" w:rsidTr="00657E2B">
        <w:tc>
          <w:tcPr>
            <w:tcW w:w="9016" w:type="dxa"/>
          </w:tcPr>
          <w:p w:rsidR="00BB68CE" w:rsidRDefault="00BB68CE" w:rsidP="009F366C">
            <w:pPr>
              <w:rPr>
                <w:rFonts w:cstheme="minorHAnsi"/>
              </w:rPr>
            </w:pPr>
          </w:p>
          <w:p w:rsidR="00723CCE" w:rsidRDefault="00723CCE" w:rsidP="009F366C">
            <w:pPr>
              <w:pStyle w:val="ListParagraph"/>
              <w:numPr>
                <w:ilvl w:val="0"/>
                <w:numId w:val="8"/>
              </w:numPr>
              <w:rPr>
                <w:b/>
              </w:rPr>
            </w:pPr>
            <w:r w:rsidRPr="00723CCE">
              <w:rPr>
                <w:b/>
              </w:rPr>
              <w:t xml:space="preserve">Overview </w:t>
            </w:r>
          </w:p>
          <w:p w:rsidR="00723CCE" w:rsidRPr="00723CCE" w:rsidRDefault="00723CCE" w:rsidP="009F366C">
            <w:pPr>
              <w:pStyle w:val="ListParagraph"/>
              <w:numPr>
                <w:ilvl w:val="1"/>
                <w:numId w:val="8"/>
              </w:numPr>
              <w:rPr>
                <w:b/>
              </w:rPr>
            </w:pPr>
            <w:r>
              <w:t xml:space="preserve">Refunds and compensation will only be issued where a complaint has been made via the Complaints Policy with a complaints investigation concluding that a refund and/or compensation is the most appropriate remedy. </w:t>
            </w:r>
          </w:p>
          <w:p w:rsidR="00723CCE" w:rsidRPr="00723CCE" w:rsidRDefault="00723CCE" w:rsidP="00723CCE">
            <w:pPr>
              <w:pStyle w:val="ListParagraph"/>
              <w:ind w:left="360"/>
              <w:rPr>
                <w:b/>
              </w:rPr>
            </w:pPr>
          </w:p>
          <w:p w:rsidR="009F366C" w:rsidRPr="00723CCE" w:rsidRDefault="00723CCE" w:rsidP="009F366C">
            <w:pPr>
              <w:pStyle w:val="ListParagraph"/>
              <w:numPr>
                <w:ilvl w:val="1"/>
                <w:numId w:val="8"/>
              </w:numPr>
              <w:rPr>
                <w:b/>
              </w:rPr>
            </w:pPr>
            <w:r>
              <w:t>Refunds and compensation will not always be the most appropriate response to complaints. By engaging with the complaints process, the conservatoire aims to identify and agree with the student the most appropriate outcome and remedy.</w:t>
            </w:r>
          </w:p>
          <w:p w:rsidR="00723CCE" w:rsidRPr="00723CCE" w:rsidRDefault="00723CCE" w:rsidP="00723CCE">
            <w:pPr>
              <w:pStyle w:val="ListParagraph"/>
              <w:rPr>
                <w:b/>
              </w:rPr>
            </w:pPr>
          </w:p>
          <w:p w:rsidR="00723CCE" w:rsidRDefault="00723CCE" w:rsidP="00723CCE">
            <w:pPr>
              <w:pStyle w:val="ListParagraph"/>
              <w:numPr>
                <w:ilvl w:val="0"/>
                <w:numId w:val="8"/>
              </w:numPr>
              <w:rPr>
                <w:b/>
              </w:rPr>
            </w:pPr>
            <w:r w:rsidRPr="00723CCE">
              <w:rPr>
                <w:b/>
              </w:rPr>
              <w:t xml:space="preserve">Definitions </w:t>
            </w:r>
          </w:p>
          <w:p w:rsidR="00723CCE" w:rsidRDefault="00723CCE" w:rsidP="00723CCE">
            <w:pPr>
              <w:pStyle w:val="ListParagraph"/>
              <w:ind w:left="360"/>
              <w:rPr>
                <w:b/>
              </w:rPr>
            </w:pPr>
          </w:p>
          <w:p w:rsidR="00723CCE" w:rsidRPr="00723CCE" w:rsidRDefault="00723CCE" w:rsidP="00723CCE">
            <w:pPr>
              <w:pStyle w:val="ListParagraph"/>
              <w:numPr>
                <w:ilvl w:val="1"/>
                <w:numId w:val="8"/>
              </w:numPr>
              <w:rPr>
                <w:b/>
              </w:rPr>
            </w:pPr>
            <w:r>
              <w:lastRenderedPageBreak/>
              <w:t xml:space="preserve">A refund relates to the repayment of sums paid by a student to the conservatoire or an appropriate reduction in the </w:t>
            </w:r>
            <w:proofErr w:type="gramStart"/>
            <w:r>
              <w:t>amount</w:t>
            </w:r>
            <w:proofErr w:type="gramEnd"/>
            <w:r>
              <w:t xml:space="preserve"> of sums owed in future by the student to the conservatoire. </w:t>
            </w:r>
          </w:p>
          <w:p w:rsidR="00723CCE" w:rsidRPr="00723CCE" w:rsidRDefault="00723CCE" w:rsidP="00723CCE">
            <w:pPr>
              <w:pStyle w:val="ListParagraph"/>
              <w:ind w:left="360"/>
              <w:rPr>
                <w:b/>
              </w:rPr>
            </w:pPr>
          </w:p>
          <w:p w:rsidR="00723CCE" w:rsidRPr="00723CCE" w:rsidRDefault="00723CCE" w:rsidP="00723CCE">
            <w:pPr>
              <w:pStyle w:val="ListParagraph"/>
              <w:numPr>
                <w:ilvl w:val="1"/>
                <w:numId w:val="8"/>
              </w:numPr>
              <w:rPr>
                <w:b/>
              </w:rPr>
            </w:pPr>
            <w:r>
              <w:t>Compensation relates to a recognisable loss suffered by the student. This normally falls into two categories, either:</w:t>
            </w:r>
          </w:p>
          <w:p w:rsidR="00723CCE" w:rsidRPr="00723CCE" w:rsidRDefault="00723CCE" w:rsidP="00723CCE">
            <w:pPr>
              <w:pStyle w:val="ListParagraph"/>
              <w:numPr>
                <w:ilvl w:val="0"/>
                <w:numId w:val="3"/>
              </w:numPr>
              <w:rPr>
                <w:b/>
              </w:rPr>
            </w:pPr>
            <w:r>
              <w:t xml:space="preserve">Recompensing the student for wasted out-of-pocket expenses they have incurred, which were paid to someone other than the conservatoire (such as travel costs) </w:t>
            </w:r>
          </w:p>
          <w:p w:rsidR="00723CCE" w:rsidRPr="00723CCE" w:rsidRDefault="00723CCE" w:rsidP="00723CCE">
            <w:pPr>
              <w:pStyle w:val="ListParagraph"/>
              <w:numPr>
                <w:ilvl w:val="0"/>
                <w:numId w:val="3"/>
              </w:numPr>
              <w:rPr>
                <w:b/>
              </w:rPr>
            </w:pPr>
            <w:r>
              <w:t xml:space="preserve">An amount to recompense for material disadvantage to the student arising from a failure by the conservatoire to discharge its duties appropriately. </w:t>
            </w:r>
          </w:p>
          <w:p w:rsidR="00723CCE" w:rsidRPr="00723CCE" w:rsidRDefault="00723CCE" w:rsidP="00723CCE">
            <w:pPr>
              <w:rPr>
                <w:b/>
              </w:rPr>
            </w:pPr>
          </w:p>
          <w:p w:rsidR="00723CCE" w:rsidRPr="00723CCE" w:rsidRDefault="00723CCE" w:rsidP="00723CCE">
            <w:pPr>
              <w:pStyle w:val="ListParagraph"/>
              <w:numPr>
                <w:ilvl w:val="1"/>
                <w:numId w:val="8"/>
              </w:numPr>
              <w:rPr>
                <w:b/>
              </w:rPr>
            </w:pPr>
            <w:r>
              <w:t>Compensation may take the form of a financial payment, a discount, or some other form of benefit.</w:t>
            </w:r>
          </w:p>
          <w:p w:rsidR="00723CCE" w:rsidRPr="00723CCE" w:rsidRDefault="00723CCE" w:rsidP="00723CCE">
            <w:pPr>
              <w:pStyle w:val="ListParagraph"/>
              <w:ind w:left="360"/>
              <w:rPr>
                <w:b/>
              </w:rPr>
            </w:pPr>
          </w:p>
          <w:p w:rsidR="00723CCE" w:rsidRDefault="00723CCE" w:rsidP="00723CCE">
            <w:pPr>
              <w:pStyle w:val="ListParagraph"/>
              <w:numPr>
                <w:ilvl w:val="0"/>
                <w:numId w:val="8"/>
              </w:numPr>
              <w:rPr>
                <w:b/>
              </w:rPr>
            </w:pPr>
            <w:r w:rsidRPr="00723CCE">
              <w:rPr>
                <w:b/>
              </w:rPr>
              <w:t xml:space="preserve"> Circumstances where refunds and compensation may be considered </w:t>
            </w:r>
          </w:p>
          <w:p w:rsidR="00723CCE" w:rsidRPr="00723CCE" w:rsidRDefault="00723CCE" w:rsidP="00723CCE">
            <w:pPr>
              <w:pStyle w:val="ListParagraph"/>
              <w:ind w:left="360"/>
              <w:rPr>
                <w:b/>
              </w:rPr>
            </w:pPr>
          </w:p>
          <w:p w:rsidR="00723CCE" w:rsidRPr="00723CCE" w:rsidRDefault="00723CCE" w:rsidP="00723CCE">
            <w:pPr>
              <w:pStyle w:val="ListParagraph"/>
              <w:numPr>
                <w:ilvl w:val="1"/>
                <w:numId w:val="8"/>
              </w:numPr>
              <w:rPr>
                <w:b/>
              </w:rPr>
            </w:pPr>
            <w:r>
              <w:t xml:space="preserve">A refund or compensation may be issued where: </w:t>
            </w:r>
          </w:p>
          <w:p w:rsidR="00723CCE" w:rsidRPr="00723CCE" w:rsidRDefault="00723CCE" w:rsidP="00723CCE">
            <w:pPr>
              <w:pStyle w:val="ListParagraph"/>
              <w:numPr>
                <w:ilvl w:val="0"/>
                <w:numId w:val="10"/>
              </w:numPr>
              <w:rPr>
                <w:b/>
              </w:rPr>
            </w:pPr>
            <w:r>
              <w:t xml:space="preserve">The conservatoire is no longer able to preserve the continuation of study for students (as detailed in the conservatoire’s Student Protection Plan) </w:t>
            </w:r>
          </w:p>
          <w:p w:rsidR="00723CCE" w:rsidRPr="00723CCE" w:rsidRDefault="00723CCE" w:rsidP="00723CCE">
            <w:pPr>
              <w:pStyle w:val="ListParagraph"/>
              <w:numPr>
                <w:ilvl w:val="0"/>
                <w:numId w:val="10"/>
              </w:numPr>
              <w:rPr>
                <w:b/>
              </w:rPr>
            </w:pPr>
            <w:r>
              <w:t xml:space="preserve">The conservatoire fails to deliver, to the appropriate standard, the services promised in its contract with students </w:t>
            </w:r>
          </w:p>
          <w:p w:rsidR="00723CCE" w:rsidRPr="00723CCE" w:rsidRDefault="00723CCE" w:rsidP="00723CCE">
            <w:pPr>
              <w:pStyle w:val="ListParagraph"/>
              <w:numPr>
                <w:ilvl w:val="0"/>
                <w:numId w:val="10"/>
              </w:numPr>
              <w:rPr>
                <w:b/>
              </w:rPr>
            </w:pPr>
            <w:r>
              <w:t xml:space="preserve"> The student has been disadvantaged as a result of a delay on behalf of the conservatoire </w:t>
            </w:r>
          </w:p>
          <w:p w:rsidR="00723CCE" w:rsidRPr="00723CCE" w:rsidRDefault="00723CCE" w:rsidP="00723CCE">
            <w:pPr>
              <w:pStyle w:val="ListParagraph"/>
              <w:numPr>
                <w:ilvl w:val="0"/>
                <w:numId w:val="10"/>
              </w:numPr>
              <w:rPr>
                <w:b/>
              </w:rPr>
            </w:pPr>
            <w:r>
              <w:t xml:space="preserve"> The conservatoire has had opportunity to resolve a complaint but has failed to do so, allowing the complaint to escalate unnecessarily and cause unnecessary distress to the student. </w:t>
            </w:r>
          </w:p>
          <w:p w:rsidR="00723CCE" w:rsidRPr="00723CCE" w:rsidRDefault="00723CCE" w:rsidP="00723CCE">
            <w:pPr>
              <w:pStyle w:val="ListParagraph"/>
              <w:ind w:left="1080"/>
              <w:rPr>
                <w:b/>
              </w:rPr>
            </w:pPr>
          </w:p>
          <w:p w:rsidR="00723CCE" w:rsidRPr="00723CCE" w:rsidRDefault="00723CCE" w:rsidP="00723CCE">
            <w:pPr>
              <w:pStyle w:val="ListParagraph"/>
              <w:numPr>
                <w:ilvl w:val="1"/>
                <w:numId w:val="8"/>
              </w:numPr>
              <w:rPr>
                <w:b/>
              </w:rPr>
            </w:pPr>
            <w:r>
              <w:t>Tuition fee refunds for early withdrawals, suspensions or transfers to other providers for reasons unrelated to a complaint or the implementation of the conservatoire’s Student Protection Plan, will be handled in accordance with the HE Tuition Fees and Academic related charges policy.</w:t>
            </w:r>
          </w:p>
          <w:p w:rsidR="00723CCE" w:rsidRPr="00723CCE" w:rsidRDefault="00723CCE" w:rsidP="00723CCE">
            <w:pPr>
              <w:pStyle w:val="ListParagraph"/>
              <w:ind w:left="360"/>
              <w:rPr>
                <w:b/>
              </w:rPr>
            </w:pPr>
          </w:p>
          <w:p w:rsidR="00723CCE" w:rsidRPr="00723CCE" w:rsidRDefault="00723CCE" w:rsidP="00723CCE">
            <w:pPr>
              <w:pStyle w:val="ListParagraph"/>
              <w:numPr>
                <w:ilvl w:val="0"/>
                <w:numId w:val="8"/>
              </w:numPr>
              <w:rPr>
                <w:b/>
              </w:rPr>
            </w:pPr>
            <w:r w:rsidRPr="00723CCE">
              <w:rPr>
                <w:b/>
              </w:rPr>
              <w:t>How claims for compensation and/or refunds will be considered</w:t>
            </w:r>
            <w:r>
              <w:t xml:space="preserve"> </w:t>
            </w:r>
          </w:p>
          <w:p w:rsidR="00723CCE" w:rsidRPr="00723CCE" w:rsidRDefault="00723CCE" w:rsidP="00723CCE">
            <w:pPr>
              <w:pStyle w:val="ListParagraph"/>
              <w:ind w:left="360"/>
              <w:rPr>
                <w:b/>
              </w:rPr>
            </w:pPr>
          </w:p>
          <w:p w:rsidR="00723CCE" w:rsidRPr="00723CCE" w:rsidRDefault="00723CCE" w:rsidP="00723CCE">
            <w:pPr>
              <w:pStyle w:val="ListParagraph"/>
              <w:numPr>
                <w:ilvl w:val="1"/>
                <w:numId w:val="8"/>
              </w:numPr>
              <w:rPr>
                <w:b/>
              </w:rPr>
            </w:pPr>
            <w:r>
              <w:t xml:space="preserve">The conservatoire will consider each complaint in the context of its contract with the student and what has or has not been fulfilled, what credits the student has achieved, and what mitigation the conservatoire has provided, as well as the student’s engagement with that mitigation. </w:t>
            </w:r>
          </w:p>
          <w:p w:rsidR="00723CCE" w:rsidRPr="00723CCE" w:rsidRDefault="00723CCE" w:rsidP="00723CCE">
            <w:pPr>
              <w:rPr>
                <w:b/>
              </w:rPr>
            </w:pPr>
          </w:p>
          <w:p w:rsidR="00723CCE" w:rsidRPr="00723CCE" w:rsidRDefault="00723CCE" w:rsidP="00723CCE">
            <w:pPr>
              <w:pStyle w:val="ListParagraph"/>
              <w:numPr>
                <w:ilvl w:val="1"/>
                <w:numId w:val="8"/>
              </w:numPr>
              <w:spacing w:after="160" w:line="259" w:lineRule="auto"/>
              <w:rPr>
                <w:b/>
              </w:rPr>
            </w:pPr>
            <w:r>
              <w:t xml:space="preserve"> The conservatoire will consider the following: </w:t>
            </w:r>
          </w:p>
          <w:p w:rsidR="00723CCE" w:rsidRPr="00723CCE" w:rsidRDefault="00723CCE" w:rsidP="00723CCE">
            <w:pPr>
              <w:pStyle w:val="ListParagraph"/>
              <w:numPr>
                <w:ilvl w:val="0"/>
                <w:numId w:val="11"/>
              </w:numPr>
              <w:spacing w:after="160" w:line="259" w:lineRule="auto"/>
              <w:rPr>
                <w:b/>
              </w:rPr>
            </w:pPr>
            <w:r>
              <w:t xml:space="preserve">Has the conservatoire failed to deliver on the material information agreed with the student at the point of accepting their place? </w:t>
            </w:r>
          </w:p>
          <w:p w:rsidR="00723CCE" w:rsidRPr="00723CCE" w:rsidRDefault="00723CCE" w:rsidP="00723CCE">
            <w:pPr>
              <w:pStyle w:val="ListParagraph"/>
              <w:numPr>
                <w:ilvl w:val="0"/>
                <w:numId w:val="11"/>
              </w:numPr>
              <w:spacing w:after="160" w:line="259" w:lineRule="auto"/>
              <w:rPr>
                <w:b/>
              </w:rPr>
            </w:pPr>
            <w:r>
              <w:t xml:space="preserve">Has the student had fair and reasonable opportunity to develop the appropriate levels of understanding required for their course and achieve the anticipated learning outcomes? </w:t>
            </w:r>
          </w:p>
          <w:p w:rsidR="00723CCE" w:rsidRPr="00723CCE" w:rsidRDefault="00723CCE" w:rsidP="00723CCE">
            <w:pPr>
              <w:pStyle w:val="ListParagraph"/>
              <w:numPr>
                <w:ilvl w:val="0"/>
                <w:numId w:val="11"/>
              </w:numPr>
              <w:spacing w:after="160" w:line="259" w:lineRule="auto"/>
              <w:rPr>
                <w:b/>
              </w:rPr>
            </w:pPr>
            <w:r>
              <w:t xml:space="preserve">Has the student met their own responsibilities to minimise losses? </w:t>
            </w:r>
          </w:p>
          <w:p w:rsidR="00723CCE" w:rsidRPr="00723CCE" w:rsidRDefault="00723CCE" w:rsidP="00723CCE">
            <w:pPr>
              <w:pStyle w:val="ListParagraph"/>
              <w:numPr>
                <w:ilvl w:val="0"/>
                <w:numId w:val="11"/>
              </w:numPr>
              <w:spacing w:after="160" w:line="259" w:lineRule="auto"/>
              <w:rPr>
                <w:b/>
              </w:rPr>
            </w:pPr>
            <w:r>
              <w:t xml:space="preserve">Has the conservatoire has followed the appropriate processes in delivering the course? </w:t>
            </w:r>
          </w:p>
          <w:p w:rsidR="00723CCE" w:rsidRPr="00723CCE" w:rsidRDefault="00723CCE" w:rsidP="00723CCE">
            <w:pPr>
              <w:pStyle w:val="ListParagraph"/>
              <w:numPr>
                <w:ilvl w:val="0"/>
                <w:numId w:val="11"/>
              </w:numPr>
              <w:spacing w:after="160" w:line="259" w:lineRule="auto"/>
              <w:rPr>
                <w:b/>
              </w:rPr>
            </w:pPr>
            <w:r>
              <w:t xml:space="preserve">Has the student been affected in relation to their final degree award or ability to take up a job offer? </w:t>
            </w:r>
          </w:p>
          <w:p w:rsidR="00723CCE" w:rsidRPr="00723CCE" w:rsidRDefault="00723CCE" w:rsidP="00723CCE">
            <w:pPr>
              <w:pStyle w:val="ListParagraph"/>
              <w:numPr>
                <w:ilvl w:val="0"/>
                <w:numId w:val="11"/>
              </w:numPr>
              <w:spacing w:after="160" w:line="259" w:lineRule="auto"/>
              <w:rPr>
                <w:b/>
              </w:rPr>
            </w:pPr>
            <w:r>
              <w:lastRenderedPageBreak/>
              <w:t xml:space="preserve">Were alternative arrangements or adjustments implemented for the student to mitigate against any loss and, if so, did the student engage with this mitigation and/or were they still disadvantaged despite this mitigation? </w:t>
            </w:r>
          </w:p>
          <w:p w:rsidR="00723CCE" w:rsidRPr="00723CCE" w:rsidRDefault="00723CCE" w:rsidP="00723CCE">
            <w:pPr>
              <w:pStyle w:val="ListParagraph"/>
              <w:numPr>
                <w:ilvl w:val="0"/>
                <w:numId w:val="11"/>
              </w:numPr>
              <w:spacing w:after="160" w:line="259" w:lineRule="auto"/>
              <w:rPr>
                <w:b/>
              </w:rPr>
            </w:pPr>
            <w:r>
              <w:t xml:space="preserve">Where a complaint relates to disruption to the student learning experience outside of the student’s control, has the student received appropriate communication throughout the process? </w:t>
            </w:r>
          </w:p>
          <w:p w:rsidR="00723CCE" w:rsidRPr="00723CCE" w:rsidRDefault="00723CCE" w:rsidP="00723CCE">
            <w:pPr>
              <w:pStyle w:val="ListParagraph"/>
              <w:numPr>
                <w:ilvl w:val="0"/>
                <w:numId w:val="11"/>
              </w:numPr>
              <w:spacing w:after="160" w:line="259" w:lineRule="auto"/>
              <w:rPr>
                <w:b/>
              </w:rPr>
            </w:pPr>
            <w:r>
              <w:t xml:space="preserve">Is a refund or compensation the most appropriate remedy? </w:t>
            </w:r>
          </w:p>
          <w:p w:rsidR="00723CCE" w:rsidRPr="00723CCE" w:rsidRDefault="00723CCE" w:rsidP="00723CCE">
            <w:pPr>
              <w:pStyle w:val="ListParagraph"/>
              <w:ind w:left="360"/>
              <w:rPr>
                <w:b/>
              </w:rPr>
            </w:pPr>
          </w:p>
          <w:p w:rsidR="00723CCE" w:rsidRDefault="00723CCE" w:rsidP="00723CCE">
            <w:pPr>
              <w:pStyle w:val="ListParagraph"/>
              <w:numPr>
                <w:ilvl w:val="0"/>
                <w:numId w:val="8"/>
              </w:numPr>
              <w:rPr>
                <w:b/>
              </w:rPr>
            </w:pPr>
            <w:r>
              <w:rPr>
                <w:b/>
              </w:rPr>
              <w:t>Payments</w:t>
            </w:r>
          </w:p>
          <w:p w:rsidR="00723CCE" w:rsidRDefault="00723CCE" w:rsidP="00723CCE">
            <w:pPr>
              <w:pStyle w:val="ListParagraph"/>
              <w:ind w:left="360"/>
              <w:rPr>
                <w:b/>
              </w:rPr>
            </w:pPr>
          </w:p>
          <w:p w:rsidR="00723CCE" w:rsidRPr="00723CCE" w:rsidRDefault="00723CCE" w:rsidP="00723CCE">
            <w:pPr>
              <w:pStyle w:val="ListParagraph"/>
              <w:numPr>
                <w:ilvl w:val="1"/>
                <w:numId w:val="8"/>
              </w:numPr>
              <w:rPr>
                <w:b/>
              </w:rPr>
            </w:pPr>
            <w:r>
              <w:t>Partial or full refunds will be provided within 14 days from the agreement that a refund is due.</w:t>
            </w:r>
          </w:p>
          <w:p w:rsidR="00723CCE" w:rsidRPr="00723CCE" w:rsidRDefault="00723CCE" w:rsidP="00723CCE">
            <w:pPr>
              <w:pStyle w:val="ListParagraph"/>
              <w:ind w:left="360"/>
              <w:rPr>
                <w:b/>
              </w:rPr>
            </w:pPr>
          </w:p>
          <w:p w:rsidR="00723CCE" w:rsidRPr="00723CCE" w:rsidRDefault="00723CCE" w:rsidP="00723CCE">
            <w:pPr>
              <w:pStyle w:val="ListParagraph"/>
              <w:numPr>
                <w:ilvl w:val="1"/>
                <w:numId w:val="8"/>
              </w:numPr>
              <w:rPr>
                <w:b/>
              </w:rPr>
            </w:pPr>
            <w:r>
              <w:t xml:space="preserve">Where tuition fee refunds for students are agreed, refunds will be issued as follows: </w:t>
            </w:r>
          </w:p>
          <w:p w:rsidR="00723CCE" w:rsidRPr="00723CCE" w:rsidRDefault="00723CCE" w:rsidP="00723CCE">
            <w:pPr>
              <w:pStyle w:val="ListParagraph"/>
              <w:numPr>
                <w:ilvl w:val="0"/>
                <w:numId w:val="13"/>
              </w:numPr>
              <w:rPr>
                <w:b/>
              </w:rPr>
            </w:pPr>
            <w:r>
              <w:t xml:space="preserve">Tuition fees for students in receipt of a tuition fee loan will be returned to the Student Loans Company (SLC) </w:t>
            </w:r>
          </w:p>
          <w:p w:rsidR="00723CCE" w:rsidRPr="00723CCE" w:rsidRDefault="00723CCE" w:rsidP="00723CCE">
            <w:pPr>
              <w:pStyle w:val="ListParagraph"/>
              <w:numPr>
                <w:ilvl w:val="0"/>
                <w:numId w:val="13"/>
              </w:numPr>
              <w:rPr>
                <w:b/>
              </w:rPr>
            </w:pPr>
            <w:r>
              <w:t>Tuition fees for students whose tuition fees are paid by a sponsor will be refunded to the relevant sponsor</w:t>
            </w:r>
          </w:p>
          <w:p w:rsidR="00723CCE" w:rsidRPr="00723CCE" w:rsidRDefault="00723CCE" w:rsidP="00723CCE">
            <w:pPr>
              <w:pStyle w:val="ListParagraph"/>
              <w:numPr>
                <w:ilvl w:val="0"/>
                <w:numId w:val="13"/>
              </w:numPr>
              <w:rPr>
                <w:b/>
              </w:rPr>
            </w:pPr>
            <w:r>
              <w:t>Tuition fees for self-funded students will be refunded to the student.</w:t>
            </w:r>
          </w:p>
        </w:tc>
      </w:tr>
    </w:tbl>
    <w:p w:rsidR="00BB68CE" w:rsidRPr="00BB68CE" w:rsidRDefault="00BB68CE" w:rsidP="00BB1AA1">
      <w:pPr>
        <w:spacing w:after="0" w:line="240" w:lineRule="auto"/>
        <w:rPr>
          <w:rFonts w:cstheme="minorHAnsi"/>
        </w:rPr>
      </w:pPr>
    </w:p>
    <w:p w:rsidR="00BB68CE" w:rsidRPr="00F2342B" w:rsidRDefault="00BB68CE" w:rsidP="00BB1AA1">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F2342B" w:rsidTr="00657E2B">
        <w:tc>
          <w:tcPr>
            <w:tcW w:w="9016" w:type="dxa"/>
            <w:shd w:val="clear" w:color="auto" w:fill="BDD6EE" w:themeFill="accent1" w:themeFillTint="66"/>
          </w:tcPr>
          <w:p w:rsidR="00F2342B" w:rsidRPr="004E68A1" w:rsidRDefault="00F2342B" w:rsidP="00657E2B">
            <w:pPr>
              <w:pStyle w:val="Heading1"/>
              <w:spacing w:before="0" w:line="360" w:lineRule="auto"/>
              <w:outlineLvl w:val="0"/>
              <w:rPr>
                <w:rFonts w:asciiTheme="minorHAnsi" w:hAnsiTheme="minorHAnsi" w:cstheme="minorHAnsi"/>
                <w:b/>
                <w:sz w:val="40"/>
              </w:rPr>
            </w:pPr>
            <w:bookmarkStart w:id="5" w:name="_Toc15540316"/>
            <w:r w:rsidRPr="004E68A1">
              <w:rPr>
                <w:rFonts w:asciiTheme="minorHAnsi" w:hAnsiTheme="minorHAnsi" w:cstheme="minorHAnsi"/>
                <w:b/>
                <w:color w:val="auto"/>
                <w:sz w:val="24"/>
              </w:rPr>
              <w:t>Breach of Policy</w:t>
            </w:r>
            <w:bookmarkEnd w:id="5"/>
          </w:p>
        </w:tc>
      </w:tr>
      <w:tr w:rsidR="00F2342B" w:rsidTr="00657E2B">
        <w:tc>
          <w:tcPr>
            <w:tcW w:w="9016" w:type="dxa"/>
          </w:tcPr>
          <w:p w:rsidR="00723CCE" w:rsidRDefault="00723CCE" w:rsidP="00723CCE"/>
          <w:p w:rsidR="009F366C" w:rsidRPr="00723CCE" w:rsidRDefault="00723CCE" w:rsidP="00723CCE">
            <w:pPr>
              <w:rPr>
                <w:rFonts w:cstheme="minorHAnsi"/>
              </w:rPr>
            </w:pPr>
            <w:r>
              <w:t>Students are entitled to make a complaint via the conservatoire’s Complaints Policy if they feel the conservatoire has not complied with tits responsibilities under the Refunds and Compensation Policy.</w:t>
            </w:r>
          </w:p>
        </w:tc>
      </w:tr>
    </w:tbl>
    <w:p w:rsidR="00F2342B" w:rsidRDefault="00F2342B" w:rsidP="00BB1AA1">
      <w:pPr>
        <w:spacing w:after="0" w:line="240" w:lineRule="auto"/>
        <w:rPr>
          <w:rFonts w:ascii="Rama Gothic E Regular" w:hAnsi="Rama Gothic E Regular"/>
          <w:sz w:val="40"/>
        </w:rPr>
      </w:pPr>
    </w:p>
    <w:p w:rsidR="00F2342B" w:rsidRPr="00BB1AA1" w:rsidRDefault="00F2342B" w:rsidP="00BB1AA1">
      <w:pPr>
        <w:spacing w:after="0" w:line="240" w:lineRule="auto"/>
        <w:rPr>
          <w:rFonts w:ascii="Rama Gothic E Regular" w:hAnsi="Rama Gothic E Regular"/>
          <w:sz w:val="40"/>
        </w:rPr>
      </w:pPr>
    </w:p>
    <w:sectPr w:rsidR="00F2342B" w:rsidRPr="00BB1AA1" w:rsidSect="00BB1AA1">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054" w:rsidRDefault="00616054" w:rsidP="00BB1AA1">
      <w:pPr>
        <w:spacing w:after="0" w:line="240" w:lineRule="auto"/>
      </w:pPr>
      <w:r>
        <w:separator/>
      </w:r>
    </w:p>
  </w:endnote>
  <w:endnote w:type="continuationSeparator" w:id="0">
    <w:p w:rsidR="00616054" w:rsidRDefault="00616054" w:rsidP="00BB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283556"/>
      <w:docPartObj>
        <w:docPartGallery w:val="Page Numbers (Bottom of Page)"/>
        <w:docPartUnique/>
      </w:docPartObj>
    </w:sdtPr>
    <w:sdtEndPr>
      <w:rPr>
        <w:noProof/>
      </w:rPr>
    </w:sdtEndPr>
    <w:sdtContent>
      <w:p w:rsidR="00723CCE" w:rsidRDefault="00723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23CCE" w:rsidRDefault="00723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054" w:rsidRDefault="00616054" w:rsidP="00BB1AA1">
      <w:pPr>
        <w:spacing w:after="0" w:line="240" w:lineRule="auto"/>
      </w:pPr>
      <w:r>
        <w:separator/>
      </w:r>
    </w:p>
  </w:footnote>
  <w:footnote w:type="continuationSeparator" w:id="0">
    <w:p w:rsidR="00616054" w:rsidRDefault="00616054" w:rsidP="00BB1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EE6" w:rsidRDefault="00C67EE6" w:rsidP="00C67EE6">
    <w:pPr>
      <w:pStyle w:val="Header"/>
      <w:rPr>
        <w:rFonts w:ascii="Rama Gothic E Regular" w:hAnsi="Rama Gothic E Regular"/>
        <w:b/>
        <w:color w:val="1F4E79" w:themeColor="accent1" w:themeShade="80"/>
        <w:sz w:val="40"/>
      </w:rPr>
    </w:pPr>
    <w:r>
      <w:rPr>
        <w:noProof/>
        <w:lang w:eastAsia="en-GB"/>
      </w:rPr>
      <w:drawing>
        <wp:anchor distT="0" distB="0" distL="114300" distR="114300" simplePos="0" relativeHeight="251659264" behindDoc="1" locked="0" layoutInCell="1" allowOverlap="1" wp14:anchorId="4C0F7FF2" wp14:editId="09AC330B">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CCE" w:rsidRDefault="00723CCE" w:rsidP="00C67EE6">
    <w:pPr>
      <w:pStyle w:val="Header"/>
      <w:rPr>
        <w:rFonts w:ascii="Rama Gothic E Regular" w:hAnsi="Rama Gothic E Regular"/>
        <w:b/>
        <w:color w:val="1F4E79" w:themeColor="accent1" w:themeShade="80"/>
        <w:sz w:val="52"/>
        <w:szCs w:val="52"/>
      </w:rPr>
    </w:pPr>
    <w:r w:rsidRPr="00723CCE">
      <w:rPr>
        <w:rFonts w:ascii="Rama Gothic E Regular" w:hAnsi="Rama Gothic E Regular"/>
        <w:b/>
        <w:color w:val="1F4E79" w:themeColor="accent1" w:themeShade="80"/>
        <w:sz w:val="52"/>
        <w:szCs w:val="52"/>
      </w:rPr>
      <w:t>Refunds and Compensation Policy (HE)</w:t>
    </w:r>
  </w:p>
  <w:p w:rsidR="00723CCE" w:rsidRPr="00723CCE" w:rsidRDefault="00A9680D" w:rsidP="00C67EE6">
    <w:pPr>
      <w:pStyle w:val="Header"/>
      <w:rPr>
        <w:rFonts w:ascii="Rama Gothic E Regular" w:hAnsi="Rama Gothic E Regular"/>
        <w:sz w:val="52"/>
        <w:szCs w:val="52"/>
      </w:rPr>
    </w:pPr>
    <w:r>
      <w:rPr>
        <w:rFonts w:ascii="Rama Gothic E Regular" w:hAnsi="Rama Gothic E Regular"/>
        <w:sz w:val="52"/>
        <w:szCs w:val="52"/>
      </w:rPr>
      <w:t>2023-24</w:t>
    </w:r>
  </w:p>
  <w:p w:rsidR="00723CCE" w:rsidRPr="00685D78" w:rsidRDefault="00723CCE" w:rsidP="00C67EE6">
    <w:pPr>
      <w:pStyle w:val="Header"/>
      <w:rPr>
        <w:rFonts w:ascii="Rama Gothic E Regular" w:hAnsi="Rama Gothic E Regular"/>
        <w:sz w:val="48"/>
      </w:rPr>
    </w:pPr>
  </w:p>
  <w:p w:rsidR="00C67EE6" w:rsidRPr="00C67EE6" w:rsidRDefault="00C67EE6">
    <w:pPr>
      <w:pStyle w:val="Header"/>
      <w:rPr>
        <w:rFonts w:ascii="Rama Gothic E Regular" w:hAnsi="Rama Gothic E Regula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2F1"/>
    <w:multiLevelType w:val="hybridMultilevel"/>
    <w:tmpl w:val="AE7A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F7BA8"/>
    <w:multiLevelType w:val="hybridMultilevel"/>
    <w:tmpl w:val="425AF3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273F5A"/>
    <w:multiLevelType w:val="hybridMultilevel"/>
    <w:tmpl w:val="E68A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1BEC"/>
    <w:multiLevelType w:val="hybridMultilevel"/>
    <w:tmpl w:val="A082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F2A26"/>
    <w:multiLevelType w:val="hybridMultilevel"/>
    <w:tmpl w:val="449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A0811"/>
    <w:multiLevelType w:val="multilevel"/>
    <w:tmpl w:val="AEE2B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E8D55A5"/>
    <w:multiLevelType w:val="multilevel"/>
    <w:tmpl w:val="AEE2B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552180C"/>
    <w:multiLevelType w:val="hybridMultilevel"/>
    <w:tmpl w:val="739E01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1F38B1"/>
    <w:multiLevelType w:val="hybridMultilevel"/>
    <w:tmpl w:val="234A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41B6C"/>
    <w:multiLevelType w:val="hybridMultilevel"/>
    <w:tmpl w:val="B024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E5BC6"/>
    <w:multiLevelType w:val="hybridMultilevel"/>
    <w:tmpl w:val="16F2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E95AB3"/>
    <w:multiLevelType w:val="hybridMultilevel"/>
    <w:tmpl w:val="B376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047987"/>
    <w:multiLevelType w:val="multilevel"/>
    <w:tmpl w:val="AEE2B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3"/>
  </w:num>
  <w:num w:numId="4">
    <w:abstractNumId w:val="8"/>
  </w:num>
  <w:num w:numId="5">
    <w:abstractNumId w:val="2"/>
  </w:num>
  <w:num w:numId="6">
    <w:abstractNumId w:val="10"/>
  </w:num>
  <w:num w:numId="7">
    <w:abstractNumId w:val="0"/>
  </w:num>
  <w:num w:numId="8">
    <w:abstractNumId w:val="6"/>
  </w:num>
  <w:num w:numId="9">
    <w:abstractNumId w:val="12"/>
  </w:num>
  <w:num w:numId="10">
    <w:abstractNumId w:val="1"/>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AA1"/>
    <w:rsid w:val="00012D57"/>
    <w:rsid w:val="000265D0"/>
    <w:rsid w:val="001C311A"/>
    <w:rsid w:val="0037702D"/>
    <w:rsid w:val="004A14B1"/>
    <w:rsid w:val="004E2FD8"/>
    <w:rsid w:val="004E68A1"/>
    <w:rsid w:val="00535066"/>
    <w:rsid w:val="005C6101"/>
    <w:rsid w:val="005E0816"/>
    <w:rsid w:val="006147F5"/>
    <w:rsid w:val="00616054"/>
    <w:rsid w:val="00685D78"/>
    <w:rsid w:val="00723CCE"/>
    <w:rsid w:val="007450B1"/>
    <w:rsid w:val="007900D9"/>
    <w:rsid w:val="007D23F5"/>
    <w:rsid w:val="00833819"/>
    <w:rsid w:val="009B47B3"/>
    <w:rsid w:val="009F366C"/>
    <w:rsid w:val="00A31663"/>
    <w:rsid w:val="00A9680D"/>
    <w:rsid w:val="00BB1AA1"/>
    <w:rsid w:val="00BB68CE"/>
    <w:rsid w:val="00C67EE6"/>
    <w:rsid w:val="00CA28CE"/>
    <w:rsid w:val="00D36CB7"/>
    <w:rsid w:val="00D71AB0"/>
    <w:rsid w:val="00ED1772"/>
    <w:rsid w:val="00F12326"/>
    <w:rsid w:val="00F23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A0428"/>
  <w15:chartTrackingRefBased/>
  <w15:docId w15:val="{B8D3BA7F-776B-457B-B005-A1A02DB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AA1"/>
  </w:style>
  <w:style w:type="paragraph" w:styleId="Footer">
    <w:name w:val="footer"/>
    <w:basedOn w:val="Normal"/>
    <w:link w:val="FooterChar"/>
    <w:uiPriority w:val="99"/>
    <w:unhideWhenUsed/>
    <w:rsid w:val="00BB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AA1"/>
  </w:style>
  <w:style w:type="table" w:styleId="TableGrid">
    <w:name w:val="Table Grid"/>
    <w:basedOn w:val="TableNormal"/>
    <w:uiPriority w:val="39"/>
    <w:rsid w:val="00BB1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8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B68CE"/>
    <w:pPr>
      <w:outlineLvl w:val="9"/>
    </w:pPr>
    <w:rPr>
      <w:lang w:val="en-US"/>
    </w:rPr>
  </w:style>
  <w:style w:type="paragraph" w:styleId="TOC1">
    <w:name w:val="toc 1"/>
    <w:basedOn w:val="Normal"/>
    <w:next w:val="Normal"/>
    <w:autoRedefine/>
    <w:uiPriority w:val="39"/>
    <w:unhideWhenUsed/>
    <w:rsid w:val="00F2342B"/>
    <w:pPr>
      <w:spacing w:after="100"/>
    </w:pPr>
  </w:style>
  <w:style w:type="character" w:styleId="Hyperlink">
    <w:name w:val="Hyperlink"/>
    <w:basedOn w:val="DefaultParagraphFont"/>
    <w:uiPriority w:val="99"/>
    <w:unhideWhenUsed/>
    <w:rsid w:val="00F2342B"/>
    <w:rPr>
      <w:color w:val="0563C1" w:themeColor="hyperlink"/>
      <w:u w:val="single"/>
    </w:rPr>
  </w:style>
  <w:style w:type="paragraph" w:styleId="ListParagraph">
    <w:name w:val="List Paragraph"/>
    <w:basedOn w:val="Normal"/>
    <w:uiPriority w:val="34"/>
    <w:qFormat/>
    <w:rsid w:val="0037702D"/>
    <w:pPr>
      <w:ind w:left="720"/>
      <w:contextualSpacing/>
    </w:pPr>
  </w:style>
  <w:style w:type="paragraph" w:styleId="BalloonText">
    <w:name w:val="Balloon Text"/>
    <w:basedOn w:val="Normal"/>
    <w:link w:val="BalloonTextChar"/>
    <w:uiPriority w:val="99"/>
    <w:semiHidden/>
    <w:unhideWhenUsed/>
    <w:rsid w:val="00D36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CB7"/>
    <w:rPr>
      <w:rFonts w:ascii="Segoe UI" w:hAnsi="Segoe UI" w:cs="Segoe UI"/>
      <w:sz w:val="18"/>
      <w:szCs w:val="18"/>
    </w:rPr>
  </w:style>
  <w:style w:type="character" w:styleId="UnresolvedMention">
    <w:name w:val="Unresolved Mention"/>
    <w:basedOn w:val="DefaultParagraphFont"/>
    <w:uiPriority w:val="99"/>
    <w:semiHidden/>
    <w:unhideWhenUsed/>
    <w:rsid w:val="00A96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leedsconservatoir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E786-693B-44FE-901C-60D3FE4A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Leeds College of Music</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Pegg,James</dc:creator>
  <cp:keywords/>
  <dc:description/>
  <cp:lastModifiedBy>Cohen,Hayden</cp:lastModifiedBy>
  <cp:revision>4</cp:revision>
  <cp:lastPrinted>2019-02-08T14:05:00Z</cp:lastPrinted>
  <dcterms:created xsi:type="dcterms:W3CDTF">2023-03-09T11:40:00Z</dcterms:created>
  <dcterms:modified xsi:type="dcterms:W3CDTF">2023-03-09T15:44:00Z</dcterms:modified>
</cp:coreProperties>
</file>