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CE" w:rsidRDefault="00BB68CE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B1AA1" w:rsidTr="007450B1">
        <w:tc>
          <w:tcPr>
            <w:tcW w:w="2972" w:type="dxa"/>
            <w:shd w:val="clear" w:color="auto" w:fill="BDD6EE" w:themeFill="accent1" w:themeFillTint="66"/>
          </w:tcPr>
          <w:p w:rsidR="00BB1AA1" w:rsidRPr="007450B1" w:rsidRDefault="00F2342B" w:rsidP="00BB1AA1">
            <w:pPr>
              <w:rPr>
                <w:rFonts w:cstheme="minorHAnsi"/>
                <w:b/>
                <w:sz w:val="24"/>
                <w:szCs w:val="24"/>
              </w:rPr>
            </w:pPr>
            <w:r w:rsidRPr="007450B1">
              <w:rPr>
                <w:rFonts w:cstheme="minorHAnsi"/>
                <w:b/>
                <w:sz w:val="24"/>
                <w:szCs w:val="24"/>
              </w:rPr>
              <w:t>Revision number</w:t>
            </w:r>
            <w:r w:rsidR="00BB1AA1" w:rsidRPr="007450B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44" w:type="dxa"/>
          </w:tcPr>
          <w:p w:rsidR="00BB1AA1" w:rsidRPr="009B47B3" w:rsidRDefault="001C6176" w:rsidP="00BB1AA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  <w:r w:rsidR="00A60423">
              <w:rPr>
                <w:rFonts w:cstheme="minorHAnsi"/>
                <w:sz w:val="24"/>
              </w:rPr>
              <w:t>7</w:t>
            </w:r>
          </w:p>
        </w:tc>
      </w:tr>
      <w:tr w:rsidR="00BB1AA1" w:rsidTr="007450B1">
        <w:tc>
          <w:tcPr>
            <w:tcW w:w="2972" w:type="dxa"/>
            <w:shd w:val="clear" w:color="auto" w:fill="BDD6EE" w:themeFill="accent1" w:themeFillTint="66"/>
          </w:tcPr>
          <w:p w:rsidR="00BB1AA1" w:rsidRPr="007450B1" w:rsidRDefault="00BB1AA1" w:rsidP="00BB1AA1">
            <w:pPr>
              <w:rPr>
                <w:rFonts w:cstheme="minorHAnsi"/>
                <w:b/>
                <w:sz w:val="24"/>
                <w:szCs w:val="24"/>
              </w:rPr>
            </w:pPr>
            <w:r w:rsidRPr="007450B1">
              <w:rPr>
                <w:rFonts w:cstheme="minorHAnsi"/>
                <w:b/>
                <w:sz w:val="24"/>
                <w:szCs w:val="24"/>
              </w:rPr>
              <w:t>Applicable from:</w:t>
            </w:r>
          </w:p>
        </w:tc>
        <w:tc>
          <w:tcPr>
            <w:tcW w:w="6044" w:type="dxa"/>
          </w:tcPr>
          <w:p w:rsidR="00BB1AA1" w:rsidRPr="009B47B3" w:rsidRDefault="005B67B0" w:rsidP="00DB72C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31</w:t>
            </w:r>
            <w:r w:rsidRPr="005B67B0">
              <w:rPr>
                <w:rFonts w:cstheme="minorHAnsi"/>
                <w:sz w:val="24"/>
                <w:vertAlign w:val="superscript"/>
              </w:rPr>
              <w:t>st</w:t>
            </w:r>
            <w:r>
              <w:rPr>
                <w:rFonts w:cstheme="minorHAnsi"/>
                <w:sz w:val="24"/>
              </w:rPr>
              <w:t xml:space="preserve"> March 2023</w:t>
            </w:r>
          </w:p>
        </w:tc>
      </w:tr>
      <w:tr w:rsidR="00BB1AA1" w:rsidTr="007450B1">
        <w:tc>
          <w:tcPr>
            <w:tcW w:w="2972" w:type="dxa"/>
            <w:shd w:val="clear" w:color="auto" w:fill="BDD6EE" w:themeFill="accent1" w:themeFillTint="66"/>
          </w:tcPr>
          <w:p w:rsidR="00BB1AA1" w:rsidRPr="007450B1" w:rsidRDefault="00BB1AA1" w:rsidP="00BB1AA1">
            <w:pPr>
              <w:rPr>
                <w:rFonts w:cstheme="minorHAnsi"/>
                <w:b/>
                <w:sz w:val="24"/>
                <w:szCs w:val="24"/>
              </w:rPr>
            </w:pPr>
            <w:r w:rsidRPr="007450B1">
              <w:rPr>
                <w:rFonts w:cstheme="minorHAnsi"/>
                <w:b/>
                <w:sz w:val="24"/>
                <w:szCs w:val="24"/>
              </w:rPr>
              <w:t>Approved by:</w:t>
            </w:r>
          </w:p>
        </w:tc>
        <w:tc>
          <w:tcPr>
            <w:tcW w:w="6044" w:type="dxa"/>
          </w:tcPr>
          <w:p w:rsidR="00BB1AA1" w:rsidRPr="0054687B" w:rsidRDefault="00A60423" w:rsidP="00E64274">
            <w:pPr>
              <w:rPr>
                <w:rFonts w:cstheme="minorHAnsi"/>
                <w:color w:val="FF0000"/>
                <w:sz w:val="24"/>
              </w:rPr>
            </w:pPr>
            <w:r>
              <w:rPr>
                <w:rFonts w:cstheme="minorHAnsi"/>
                <w:sz w:val="24"/>
              </w:rPr>
              <w:t>Academic Council</w:t>
            </w:r>
          </w:p>
        </w:tc>
      </w:tr>
      <w:tr w:rsidR="00BB1AA1" w:rsidTr="007450B1">
        <w:tc>
          <w:tcPr>
            <w:tcW w:w="2972" w:type="dxa"/>
            <w:shd w:val="clear" w:color="auto" w:fill="BDD6EE" w:themeFill="accent1" w:themeFillTint="66"/>
          </w:tcPr>
          <w:p w:rsidR="00BB1AA1" w:rsidRPr="007450B1" w:rsidRDefault="00BB1AA1" w:rsidP="00BB1AA1">
            <w:pPr>
              <w:rPr>
                <w:rFonts w:cstheme="minorHAnsi"/>
                <w:b/>
                <w:sz w:val="24"/>
                <w:szCs w:val="24"/>
              </w:rPr>
            </w:pPr>
            <w:r w:rsidRPr="007450B1">
              <w:rPr>
                <w:rFonts w:cstheme="minorHAnsi"/>
                <w:b/>
                <w:sz w:val="24"/>
                <w:szCs w:val="24"/>
              </w:rPr>
              <w:t>Date of approval:</w:t>
            </w:r>
          </w:p>
        </w:tc>
        <w:tc>
          <w:tcPr>
            <w:tcW w:w="6044" w:type="dxa"/>
          </w:tcPr>
          <w:p w:rsidR="00BB1AA1" w:rsidRPr="009B47B3" w:rsidRDefault="005B67B0" w:rsidP="0076191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31</w:t>
            </w:r>
            <w:r w:rsidRPr="005B67B0">
              <w:rPr>
                <w:rFonts w:cstheme="minorHAnsi"/>
                <w:sz w:val="24"/>
                <w:vertAlign w:val="superscript"/>
              </w:rPr>
              <w:t>st</w:t>
            </w:r>
            <w:r>
              <w:rPr>
                <w:rFonts w:cstheme="minorHAnsi"/>
                <w:sz w:val="24"/>
              </w:rPr>
              <w:t xml:space="preserve"> March 2023</w:t>
            </w:r>
          </w:p>
        </w:tc>
      </w:tr>
      <w:tr w:rsidR="007E00EE" w:rsidTr="007450B1">
        <w:tc>
          <w:tcPr>
            <w:tcW w:w="2972" w:type="dxa"/>
            <w:shd w:val="clear" w:color="auto" w:fill="BDD6EE" w:themeFill="accent1" w:themeFillTint="66"/>
          </w:tcPr>
          <w:p w:rsidR="007E00EE" w:rsidRPr="007450B1" w:rsidRDefault="007E00EE" w:rsidP="00BB1AA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of next review:</w:t>
            </w:r>
          </w:p>
        </w:tc>
        <w:tc>
          <w:tcPr>
            <w:tcW w:w="6044" w:type="dxa"/>
          </w:tcPr>
          <w:p w:rsidR="007E00EE" w:rsidRDefault="007E00EE" w:rsidP="0076191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June 2024</w:t>
            </w:r>
          </w:p>
        </w:tc>
      </w:tr>
      <w:tr w:rsidR="00BB68CE" w:rsidTr="007450B1">
        <w:tc>
          <w:tcPr>
            <w:tcW w:w="2972" w:type="dxa"/>
            <w:shd w:val="clear" w:color="auto" w:fill="BDD6EE" w:themeFill="accent1" w:themeFillTint="66"/>
          </w:tcPr>
          <w:p w:rsidR="00BB68CE" w:rsidRPr="007450B1" w:rsidRDefault="00BB68CE" w:rsidP="00BB1AA1">
            <w:pPr>
              <w:rPr>
                <w:rFonts w:cstheme="minorHAnsi"/>
                <w:b/>
                <w:sz w:val="24"/>
                <w:szCs w:val="24"/>
              </w:rPr>
            </w:pPr>
            <w:r w:rsidRPr="007450B1">
              <w:rPr>
                <w:rFonts w:cstheme="minorHAnsi"/>
                <w:b/>
                <w:sz w:val="24"/>
                <w:szCs w:val="24"/>
              </w:rPr>
              <w:t>Scope of policy (audience):</w:t>
            </w:r>
          </w:p>
        </w:tc>
        <w:tc>
          <w:tcPr>
            <w:tcW w:w="6044" w:type="dxa"/>
          </w:tcPr>
          <w:p w:rsidR="00BB68CE" w:rsidRPr="009B47B3" w:rsidRDefault="00A60423" w:rsidP="00574FF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  <w:r w:rsidR="00F2342B" w:rsidRPr="009B47B3">
              <w:rPr>
                <w:rFonts w:cstheme="minorHAnsi"/>
                <w:sz w:val="24"/>
              </w:rPr>
              <w:t>tudents</w:t>
            </w:r>
            <w:r>
              <w:rPr>
                <w:rFonts w:cstheme="minorHAnsi"/>
                <w:sz w:val="24"/>
              </w:rPr>
              <w:t xml:space="preserve"> (HE programmes)</w:t>
            </w:r>
            <w:r w:rsidR="00F2342B" w:rsidRPr="009B47B3">
              <w:rPr>
                <w:rFonts w:cstheme="minorHAnsi"/>
                <w:sz w:val="24"/>
              </w:rPr>
              <w:t xml:space="preserve">, </w:t>
            </w:r>
            <w:r>
              <w:rPr>
                <w:rFonts w:cstheme="minorHAnsi"/>
                <w:sz w:val="24"/>
              </w:rPr>
              <w:t>staff</w:t>
            </w:r>
          </w:p>
        </w:tc>
      </w:tr>
      <w:tr w:rsidR="00BB1AA1" w:rsidTr="007450B1">
        <w:tc>
          <w:tcPr>
            <w:tcW w:w="2972" w:type="dxa"/>
            <w:shd w:val="clear" w:color="auto" w:fill="BDD6EE" w:themeFill="accent1" w:themeFillTint="66"/>
          </w:tcPr>
          <w:p w:rsidR="00BB1AA1" w:rsidRPr="007450B1" w:rsidRDefault="00BB1AA1" w:rsidP="00BB1AA1">
            <w:pPr>
              <w:rPr>
                <w:rFonts w:cstheme="minorHAnsi"/>
                <w:b/>
                <w:sz w:val="24"/>
                <w:szCs w:val="24"/>
              </w:rPr>
            </w:pPr>
            <w:r w:rsidRPr="007450B1">
              <w:rPr>
                <w:rFonts w:cstheme="minorHAnsi"/>
                <w:b/>
                <w:sz w:val="24"/>
                <w:szCs w:val="24"/>
              </w:rPr>
              <w:t>Policy</w:t>
            </w:r>
            <w:r w:rsidR="00BB68CE" w:rsidRPr="007450B1">
              <w:rPr>
                <w:rFonts w:cstheme="minorHAnsi"/>
                <w:b/>
                <w:sz w:val="24"/>
                <w:szCs w:val="24"/>
              </w:rPr>
              <w:t>holder:</w:t>
            </w:r>
          </w:p>
        </w:tc>
        <w:tc>
          <w:tcPr>
            <w:tcW w:w="6044" w:type="dxa"/>
          </w:tcPr>
          <w:p w:rsidR="00BB1AA1" w:rsidRPr="009B47B3" w:rsidRDefault="001C6176" w:rsidP="00BB1AA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Head of </w:t>
            </w:r>
            <w:r w:rsidR="00A60423">
              <w:rPr>
                <w:rFonts w:cstheme="minorHAnsi"/>
                <w:sz w:val="24"/>
              </w:rPr>
              <w:t>Registry</w:t>
            </w:r>
          </w:p>
        </w:tc>
      </w:tr>
      <w:tr w:rsidR="00F2342B" w:rsidTr="007450B1">
        <w:tc>
          <w:tcPr>
            <w:tcW w:w="2972" w:type="dxa"/>
            <w:shd w:val="clear" w:color="auto" w:fill="BDD6EE" w:themeFill="accent1" w:themeFillTint="66"/>
          </w:tcPr>
          <w:p w:rsidR="00F2342B" w:rsidRPr="007450B1" w:rsidRDefault="00F2342B" w:rsidP="00BB1AA1">
            <w:pPr>
              <w:rPr>
                <w:rFonts w:cstheme="minorHAnsi"/>
                <w:b/>
                <w:sz w:val="24"/>
                <w:szCs w:val="24"/>
              </w:rPr>
            </w:pPr>
            <w:r w:rsidRPr="007450B1">
              <w:rPr>
                <w:rFonts w:cstheme="minorHAnsi"/>
                <w:b/>
                <w:sz w:val="24"/>
                <w:szCs w:val="24"/>
              </w:rPr>
              <w:t>Contact:</w:t>
            </w:r>
          </w:p>
        </w:tc>
        <w:tc>
          <w:tcPr>
            <w:tcW w:w="6044" w:type="dxa"/>
          </w:tcPr>
          <w:p w:rsidR="00F2342B" w:rsidRPr="009B47B3" w:rsidRDefault="00273D64" w:rsidP="00BB1AA1">
            <w:pPr>
              <w:rPr>
                <w:rFonts w:cstheme="minorHAnsi"/>
                <w:sz w:val="24"/>
              </w:rPr>
            </w:pPr>
            <w:hyperlink r:id="rId11" w:history="1">
              <w:r w:rsidR="009D505A" w:rsidRPr="006417E7">
                <w:rPr>
                  <w:rStyle w:val="Hyperlink"/>
                  <w:rFonts w:cstheme="minorHAnsi"/>
                  <w:sz w:val="24"/>
                </w:rPr>
                <w:t>q</w:t>
              </w:r>
              <w:r w:rsidR="009D505A" w:rsidRPr="006417E7">
                <w:rPr>
                  <w:rStyle w:val="Hyperlink"/>
                </w:rPr>
                <w:t>uality</w:t>
              </w:r>
            </w:hyperlink>
            <w:r w:rsidR="005B67B0">
              <w:rPr>
                <w:rStyle w:val="Hyperlink"/>
                <w:rFonts w:cstheme="minorHAnsi"/>
                <w:sz w:val="24"/>
              </w:rPr>
              <w:t>@leedsconservatoire.ac.uk</w:t>
            </w:r>
            <w:r w:rsidR="00F2342B" w:rsidRPr="009B47B3">
              <w:rPr>
                <w:rFonts w:cstheme="minorHAnsi"/>
                <w:sz w:val="24"/>
              </w:rPr>
              <w:t xml:space="preserve"> </w:t>
            </w:r>
          </w:p>
        </w:tc>
      </w:tr>
      <w:tr w:rsidR="00F2342B" w:rsidTr="007450B1">
        <w:tc>
          <w:tcPr>
            <w:tcW w:w="2972" w:type="dxa"/>
            <w:shd w:val="clear" w:color="auto" w:fill="BDD6EE" w:themeFill="accent1" w:themeFillTint="66"/>
          </w:tcPr>
          <w:p w:rsidR="00F2342B" w:rsidRPr="007450B1" w:rsidRDefault="00F2342B" w:rsidP="00BB1AA1">
            <w:pPr>
              <w:rPr>
                <w:rFonts w:cstheme="minorHAnsi"/>
                <w:b/>
                <w:sz w:val="24"/>
                <w:szCs w:val="24"/>
              </w:rPr>
            </w:pPr>
            <w:r w:rsidRPr="007450B1">
              <w:rPr>
                <w:rFonts w:cstheme="minorHAnsi"/>
                <w:b/>
                <w:sz w:val="24"/>
                <w:szCs w:val="24"/>
              </w:rPr>
              <w:t>Alternative formats:</w:t>
            </w:r>
          </w:p>
        </w:tc>
        <w:tc>
          <w:tcPr>
            <w:tcW w:w="6044" w:type="dxa"/>
          </w:tcPr>
          <w:p w:rsidR="00F2342B" w:rsidRPr="00273D64" w:rsidRDefault="00F2342B" w:rsidP="00BB1AA1">
            <w:pPr>
              <w:rPr>
                <w:rFonts w:cstheme="minorHAnsi"/>
                <w:i/>
                <w:sz w:val="24"/>
              </w:rPr>
            </w:pPr>
            <w:bookmarkStart w:id="0" w:name="_GoBack"/>
            <w:r w:rsidRPr="00273D64">
              <w:rPr>
                <w:rFonts w:cstheme="minorHAnsi"/>
                <w:i/>
                <w:sz w:val="24"/>
              </w:rPr>
              <w:t>e.g. audio, large font</w:t>
            </w:r>
            <w:r w:rsidR="009F366C" w:rsidRPr="00273D64">
              <w:rPr>
                <w:rFonts w:cstheme="minorHAnsi"/>
                <w:i/>
                <w:sz w:val="24"/>
              </w:rPr>
              <w:t>, braille – on request</w:t>
            </w:r>
            <w:bookmarkEnd w:id="0"/>
          </w:p>
        </w:tc>
      </w:tr>
    </w:tbl>
    <w:p w:rsidR="00BB1AA1" w:rsidRDefault="00BB1AA1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18755719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B68CE" w:rsidRPr="004A14B1" w:rsidRDefault="00BB68CE">
          <w:pPr>
            <w:pStyle w:val="TOCHeading"/>
            <w:rPr>
              <w:rFonts w:ascii="Rama Gothic E Regular" w:hAnsi="Rama Gothic E Regular"/>
              <w:b/>
              <w:color w:val="1F4E79" w:themeColor="accent1" w:themeShade="80"/>
            </w:rPr>
          </w:pPr>
          <w:r w:rsidRPr="004A14B1">
            <w:rPr>
              <w:rFonts w:ascii="Rama Gothic E Regular" w:hAnsi="Rama Gothic E Regular"/>
              <w:b/>
              <w:color w:val="1F4E79" w:themeColor="accent1" w:themeShade="80"/>
            </w:rPr>
            <w:t>Contents</w:t>
          </w:r>
        </w:p>
        <w:p w:rsidR="00776EDD" w:rsidRPr="00686131" w:rsidRDefault="00BB68C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CA28CE">
            <w:rPr>
              <w:rFonts w:cstheme="minorHAnsi"/>
              <w:bCs/>
              <w:noProof/>
            </w:rPr>
            <w:fldChar w:fldCharType="begin"/>
          </w:r>
          <w:r w:rsidRPr="00CA28CE">
            <w:rPr>
              <w:rFonts w:cstheme="minorHAnsi"/>
              <w:bCs/>
              <w:noProof/>
            </w:rPr>
            <w:instrText xml:space="preserve"> TOC \o "1-3" \h \z \u </w:instrText>
          </w:r>
          <w:r w:rsidRPr="00CA28CE">
            <w:rPr>
              <w:rFonts w:cstheme="minorHAnsi"/>
              <w:bCs/>
              <w:noProof/>
            </w:rPr>
            <w:fldChar w:fldCharType="separate"/>
          </w:r>
          <w:hyperlink w:anchor="_Toc74752804" w:history="1">
            <w:r w:rsidR="00776EDD" w:rsidRPr="00686131">
              <w:rPr>
                <w:rStyle w:val="Hyperlink"/>
                <w:rFonts w:cstheme="minorHAnsi"/>
                <w:noProof/>
              </w:rPr>
              <w:t>Introduction</w:t>
            </w:r>
            <w:r w:rsidR="00776EDD" w:rsidRPr="00686131">
              <w:rPr>
                <w:noProof/>
                <w:webHidden/>
              </w:rPr>
              <w:tab/>
            </w:r>
            <w:r w:rsidR="00776EDD" w:rsidRPr="00686131">
              <w:rPr>
                <w:noProof/>
                <w:webHidden/>
              </w:rPr>
              <w:fldChar w:fldCharType="begin"/>
            </w:r>
            <w:r w:rsidR="00776EDD" w:rsidRPr="00686131">
              <w:rPr>
                <w:noProof/>
                <w:webHidden/>
              </w:rPr>
              <w:instrText xml:space="preserve"> PAGEREF _Toc74752804 \h </w:instrText>
            </w:r>
            <w:r w:rsidR="00776EDD" w:rsidRPr="00686131">
              <w:rPr>
                <w:noProof/>
                <w:webHidden/>
              </w:rPr>
            </w:r>
            <w:r w:rsidR="00776EDD" w:rsidRPr="00686131">
              <w:rPr>
                <w:noProof/>
                <w:webHidden/>
              </w:rPr>
              <w:fldChar w:fldCharType="separate"/>
            </w:r>
            <w:r w:rsidR="00776EDD" w:rsidRPr="00686131">
              <w:rPr>
                <w:noProof/>
                <w:webHidden/>
              </w:rPr>
              <w:t>2</w:t>
            </w:r>
            <w:r w:rsidR="00776EDD" w:rsidRPr="00686131">
              <w:rPr>
                <w:noProof/>
                <w:webHidden/>
              </w:rPr>
              <w:fldChar w:fldCharType="end"/>
            </w:r>
          </w:hyperlink>
        </w:p>
        <w:p w:rsidR="00776EDD" w:rsidRPr="00686131" w:rsidRDefault="00273D6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752805" w:history="1">
            <w:r w:rsidR="00776EDD" w:rsidRPr="00686131">
              <w:rPr>
                <w:rStyle w:val="Hyperlink"/>
                <w:rFonts w:cstheme="minorHAnsi"/>
                <w:noProof/>
              </w:rPr>
              <w:t>Equality Impact Assessment Information</w:t>
            </w:r>
            <w:r w:rsidR="00776EDD" w:rsidRPr="00686131">
              <w:rPr>
                <w:noProof/>
                <w:webHidden/>
              </w:rPr>
              <w:tab/>
            </w:r>
            <w:r w:rsidR="00776EDD" w:rsidRPr="00686131">
              <w:rPr>
                <w:noProof/>
                <w:webHidden/>
              </w:rPr>
              <w:fldChar w:fldCharType="begin"/>
            </w:r>
            <w:r w:rsidR="00776EDD" w:rsidRPr="00686131">
              <w:rPr>
                <w:noProof/>
                <w:webHidden/>
              </w:rPr>
              <w:instrText xml:space="preserve"> PAGEREF _Toc74752805 \h </w:instrText>
            </w:r>
            <w:r w:rsidR="00776EDD" w:rsidRPr="00686131">
              <w:rPr>
                <w:noProof/>
                <w:webHidden/>
              </w:rPr>
            </w:r>
            <w:r w:rsidR="00776EDD" w:rsidRPr="00686131">
              <w:rPr>
                <w:noProof/>
                <w:webHidden/>
              </w:rPr>
              <w:fldChar w:fldCharType="separate"/>
            </w:r>
            <w:r w:rsidR="00776EDD" w:rsidRPr="00686131">
              <w:rPr>
                <w:noProof/>
                <w:webHidden/>
              </w:rPr>
              <w:t>2</w:t>
            </w:r>
            <w:r w:rsidR="00776EDD" w:rsidRPr="00686131">
              <w:rPr>
                <w:noProof/>
                <w:webHidden/>
              </w:rPr>
              <w:fldChar w:fldCharType="end"/>
            </w:r>
          </w:hyperlink>
        </w:p>
        <w:p w:rsidR="00776EDD" w:rsidRPr="00686131" w:rsidRDefault="00273D6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752806" w:history="1">
            <w:r w:rsidR="00776EDD" w:rsidRPr="00686131">
              <w:rPr>
                <w:rStyle w:val="Hyperlink"/>
                <w:rFonts w:cstheme="minorHAnsi"/>
                <w:noProof/>
              </w:rPr>
              <w:t>Definitions</w:t>
            </w:r>
            <w:r w:rsidR="00776EDD" w:rsidRPr="00686131">
              <w:rPr>
                <w:noProof/>
                <w:webHidden/>
              </w:rPr>
              <w:tab/>
            </w:r>
            <w:r w:rsidR="00776EDD" w:rsidRPr="00686131">
              <w:rPr>
                <w:noProof/>
                <w:webHidden/>
              </w:rPr>
              <w:fldChar w:fldCharType="begin"/>
            </w:r>
            <w:r w:rsidR="00776EDD" w:rsidRPr="00686131">
              <w:rPr>
                <w:noProof/>
                <w:webHidden/>
              </w:rPr>
              <w:instrText xml:space="preserve"> PAGEREF _Toc74752806 \h </w:instrText>
            </w:r>
            <w:r w:rsidR="00776EDD" w:rsidRPr="00686131">
              <w:rPr>
                <w:noProof/>
                <w:webHidden/>
              </w:rPr>
            </w:r>
            <w:r w:rsidR="00776EDD" w:rsidRPr="00686131">
              <w:rPr>
                <w:noProof/>
                <w:webHidden/>
              </w:rPr>
              <w:fldChar w:fldCharType="separate"/>
            </w:r>
            <w:r w:rsidR="00776EDD" w:rsidRPr="00686131">
              <w:rPr>
                <w:noProof/>
                <w:webHidden/>
              </w:rPr>
              <w:t>2</w:t>
            </w:r>
            <w:r w:rsidR="00776EDD" w:rsidRPr="00686131">
              <w:rPr>
                <w:noProof/>
                <w:webHidden/>
              </w:rPr>
              <w:fldChar w:fldCharType="end"/>
            </w:r>
          </w:hyperlink>
        </w:p>
        <w:p w:rsidR="00776EDD" w:rsidRPr="00686131" w:rsidRDefault="00273D6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752807" w:history="1">
            <w:r w:rsidR="00776EDD" w:rsidRPr="00686131">
              <w:rPr>
                <w:rStyle w:val="Hyperlink"/>
                <w:rFonts w:cstheme="minorHAnsi"/>
                <w:noProof/>
              </w:rPr>
              <w:t>Policy</w:t>
            </w:r>
            <w:r w:rsidR="00776EDD" w:rsidRPr="00686131">
              <w:rPr>
                <w:noProof/>
                <w:webHidden/>
              </w:rPr>
              <w:tab/>
            </w:r>
            <w:r w:rsidR="00776EDD" w:rsidRPr="00686131">
              <w:rPr>
                <w:noProof/>
                <w:webHidden/>
              </w:rPr>
              <w:fldChar w:fldCharType="begin"/>
            </w:r>
            <w:r w:rsidR="00776EDD" w:rsidRPr="00686131">
              <w:rPr>
                <w:noProof/>
                <w:webHidden/>
              </w:rPr>
              <w:instrText xml:space="preserve"> PAGEREF _Toc74752807 \h </w:instrText>
            </w:r>
            <w:r w:rsidR="00776EDD" w:rsidRPr="00686131">
              <w:rPr>
                <w:noProof/>
                <w:webHidden/>
              </w:rPr>
            </w:r>
            <w:r w:rsidR="00776EDD" w:rsidRPr="00686131">
              <w:rPr>
                <w:noProof/>
                <w:webHidden/>
              </w:rPr>
              <w:fldChar w:fldCharType="separate"/>
            </w:r>
            <w:r w:rsidR="00776EDD" w:rsidRPr="00686131">
              <w:rPr>
                <w:noProof/>
                <w:webHidden/>
              </w:rPr>
              <w:t>2</w:t>
            </w:r>
            <w:r w:rsidR="00776EDD" w:rsidRPr="00686131">
              <w:rPr>
                <w:noProof/>
                <w:webHidden/>
              </w:rPr>
              <w:fldChar w:fldCharType="end"/>
            </w:r>
          </w:hyperlink>
        </w:p>
        <w:p w:rsidR="00776EDD" w:rsidRPr="00686131" w:rsidRDefault="00273D6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752808" w:history="1">
            <w:r w:rsidR="00776EDD" w:rsidRPr="00686131">
              <w:rPr>
                <w:rStyle w:val="Hyperlink"/>
                <w:rFonts w:cstheme="minorHAnsi"/>
                <w:noProof/>
              </w:rPr>
              <w:t>Procedure</w:t>
            </w:r>
            <w:r w:rsidR="00776EDD" w:rsidRPr="00686131">
              <w:rPr>
                <w:noProof/>
                <w:webHidden/>
              </w:rPr>
              <w:tab/>
            </w:r>
            <w:r w:rsidR="00776EDD" w:rsidRPr="00686131">
              <w:rPr>
                <w:noProof/>
                <w:webHidden/>
              </w:rPr>
              <w:fldChar w:fldCharType="begin"/>
            </w:r>
            <w:r w:rsidR="00776EDD" w:rsidRPr="00686131">
              <w:rPr>
                <w:noProof/>
                <w:webHidden/>
              </w:rPr>
              <w:instrText xml:space="preserve"> PAGEREF _Toc74752808 \h </w:instrText>
            </w:r>
            <w:r w:rsidR="00776EDD" w:rsidRPr="00686131">
              <w:rPr>
                <w:noProof/>
                <w:webHidden/>
              </w:rPr>
            </w:r>
            <w:r w:rsidR="00776EDD" w:rsidRPr="00686131">
              <w:rPr>
                <w:noProof/>
                <w:webHidden/>
              </w:rPr>
              <w:fldChar w:fldCharType="separate"/>
            </w:r>
            <w:r w:rsidR="00776EDD" w:rsidRPr="00686131">
              <w:rPr>
                <w:noProof/>
                <w:webHidden/>
              </w:rPr>
              <w:t>3</w:t>
            </w:r>
            <w:r w:rsidR="00776EDD" w:rsidRPr="00686131">
              <w:rPr>
                <w:noProof/>
                <w:webHidden/>
              </w:rPr>
              <w:fldChar w:fldCharType="end"/>
            </w:r>
          </w:hyperlink>
        </w:p>
        <w:p w:rsidR="00776EDD" w:rsidRDefault="00273D6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4752809" w:history="1">
            <w:r w:rsidR="00776EDD" w:rsidRPr="00686131">
              <w:rPr>
                <w:rStyle w:val="Hyperlink"/>
                <w:rFonts w:cstheme="minorHAnsi"/>
                <w:noProof/>
              </w:rPr>
              <w:t>Breach of Policy</w:t>
            </w:r>
            <w:r w:rsidR="00776EDD" w:rsidRPr="00686131">
              <w:rPr>
                <w:noProof/>
                <w:webHidden/>
              </w:rPr>
              <w:tab/>
            </w:r>
            <w:r w:rsidR="00776EDD" w:rsidRPr="00686131">
              <w:rPr>
                <w:noProof/>
                <w:webHidden/>
              </w:rPr>
              <w:fldChar w:fldCharType="begin"/>
            </w:r>
            <w:r w:rsidR="00776EDD" w:rsidRPr="00686131">
              <w:rPr>
                <w:noProof/>
                <w:webHidden/>
              </w:rPr>
              <w:instrText xml:space="preserve"> PAGEREF _Toc74752809 \h </w:instrText>
            </w:r>
            <w:r w:rsidR="00776EDD" w:rsidRPr="00686131">
              <w:rPr>
                <w:noProof/>
                <w:webHidden/>
              </w:rPr>
            </w:r>
            <w:r w:rsidR="00776EDD" w:rsidRPr="00686131">
              <w:rPr>
                <w:noProof/>
                <w:webHidden/>
              </w:rPr>
              <w:fldChar w:fldCharType="separate"/>
            </w:r>
            <w:r w:rsidR="00776EDD" w:rsidRPr="00686131">
              <w:rPr>
                <w:noProof/>
                <w:webHidden/>
              </w:rPr>
              <w:t>3</w:t>
            </w:r>
            <w:r w:rsidR="00776EDD" w:rsidRPr="00686131">
              <w:rPr>
                <w:noProof/>
                <w:webHidden/>
              </w:rPr>
              <w:fldChar w:fldCharType="end"/>
            </w:r>
          </w:hyperlink>
        </w:p>
        <w:p w:rsidR="0054687B" w:rsidRPr="00FE4A93" w:rsidRDefault="00BB68CE">
          <w:pPr>
            <w:rPr>
              <w:rFonts w:cstheme="minorHAnsi"/>
              <w:bCs/>
              <w:noProof/>
              <w:color w:val="FF0000"/>
            </w:rPr>
          </w:pPr>
          <w:r w:rsidRPr="00CA28CE">
            <w:rPr>
              <w:rFonts w:cstheme="minorHAnsi"/>
              <w:bCs/>
              <w:noProof/>
            </w:rPr>
            <w:fldChar w:fldCharType="end"/>
          </w:r>
        </w:p>
        <w:p w:rsidR="00BB68CE" w:rsidRDefault="00273D64"/>
      </w:sdtContent>
    </w:sdt>
    <w:p w:rsidR="00BB1AA1" w:rsidRDefault="00BB1AA1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BB68CE" w:rsidRDefault="00BB68CE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BB68CE" w:rsidRDefault="00BB68CE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BB68CE" w:rsidRDefault="00BB68CE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BB68CE" w:rsidRDefault="00BB68CE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C67EE6" w:rsidRDefault="00C67EE6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9F366C" w:rsidRDefault="009F366C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9F366C" w:rsidRDefault="009F366C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BB68CE" w:rsidRDefault="00BB68CE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BB68CE" w:rsidRDefault="00BB68CE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8CE" w:rsidTr="00BB68CE">
        <w:tc>
          <w:tcPr>
            <w:tcW w:w="9016" w:type="dxa"/>
            <w:shd w:val="clear" w:color="auto" w:fill="BDD6EE" w:themeFill="accent1" w:themeFillTint="66"/>
          </w:tcPr>
          <w:p w:rsidR="00BB68CE" w:rsidRPr="004E68A1" w:rsidRDefault="00BB68CE" w:rsidP="00F2342B">
            <w:pPr>
              <w:pStyle w:val="Heading1"/>
              <w:spacing w:before="0" w:line="36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Toc74752804"/>
            <w:r w:rsidRPr="004E68A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>Introduction</w:t>
            </w:r>
            <w:bookmarkEnd w:id="1"/>
          </w:p>
        </w:tc>
      </w:tr>
      <w:tr w:rsidR="00BB68CE" w:rsidTr="00BB68CE">
        <w:tc>
          <w:tcPr>
            <w:tcW w:w="9016" w:type="dxa"/>
          </w:tcPr>
          <w:p w:rsidR="00FE4A93" w:rsidRDefault="00A60423" w:rsidP="00A60423">
            <w:pPr>
              <w:rPr>
                <w:rFonts w:cstheme="minorHAnsi"/>
              </w:rPr>
            </w:pPr>
            <w:r>
              <w:rPr>
                <w:rFonts w:cstheme="minorHAnsi"/>
              </w:rPr>
              <w:t>Leeds C</w:t>
            </w:r>
            <w:r w:rsidRPr="00757EA7">
              <w:rPr>
                <w:rFonts w:cstheme="minorHAnsi"/>
              </w:rPr>
              <w:t xml:space="preserve">onservatoire has a mechanism </w:t>
            </w:r>
            <w:r>
              <w:rPr>
                <w:rFonts w:cstheme="minorHAnsi"/>
              </w:rPr>
              <w:t xml:space="preserve">in place </w:t>
            </w:r>
            <w:r w:rsidRPr="00757EA7">
              <w:rPr>
                <w:rFonts w:cstheme="minorHAnsi"/>
              </w:rPr>
              <w:t>for students to request a review of a decision of a Board of Examiners where they have grounds to do so.</w:t>
            </w:r>
          </w:p>
          <w:p w:rsidR="00A60423" w:rsidRPr="00FE4A93" w:rsidRDefault="00A60423" w:rsidP="00A60423">
            <w:pPr>
              <w:rPr>
                <w:rFonts w:cstheme="minorHAnsi"/>
              </w:rPr>
            </w:pPr>
          </w:p>
        </w:tc>
      </w:tr>
    </w:tbl>
    <w:p w:rsidR="00BB68CE" w:rsidRPr="00BB68CE" w:rsidRDefault="00BB68CE" w:rsidP="00BB1AA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8CE" w:rsidTr="00657E2B">
        <w:tc>
          <w:tcPr>
            <w:tcW w:w="9016" w:type="dxa"/>
            <w:shd w:val="clear" w:color="auto" w:fill="BDD6EE" w:themeFill="accent1" w:themeFillTint="66"/>
          </w:tcPr>
          <w:p w:rsidR="00BB68CE" w:rsidRPr="004E68A1" w:rsidRDefault="00BB68CE" w:rsidP="00F2342B">
            <w:pPr>
              <w:pStyle w:val="Heading1"/>
              <w:spacing w:before="0" w:line="360" w:lineRule="auto"/>
              <w:outlineLvl w:val="0"/>
              <w:rPr>
                <w:rFonts w:asciiTheme="minorHAnsi" w:hAnsiTheme="minorHAnsi" w:cstheme="minorHAnsi"/>
                <w:b/>
                <w:sz w:val="40"/>
              </w:rPr>
            </w:pPr>
            <w:bookmarkStart w:id="2" w:name="_Toc74752805"/>
            <w:r w:rsidRPr="004E68A1">
              <w:rPr>
                <w:rFonts w:asciiTheme="minorHAnsi" w:hAnsiTheme="minorHAnsi" w:cstheme="minorHAnsi"/>
                <w:b/>
                <w:color w:val="auto"/>
                <w:sz w:val="24"/>
              </w:rPr>
              <w:t>Equality Impact Assessment Information</w:t>
            </w:r>
            <w:bookmarkEnd w:id="2"/>
          </w:p>
        </w:tc>
      </w:tr>
      <w:tr w:rsidR="00BB68CE" w:rsidRPr="004C0FA9" w:rsidTr="00657E2B">
        <w:tc>
          <w:tcPr>
            <w:tcW w:w="9016" w:type="dxa"/>
          </w:tcPr>
          <w:p w:rsidR="009F366C" w:rsidRPr="004C0FA9" w:rsidRDefault="009F366C" w:rsidP="009F366C">
            <w:pPr>
              <w:rPr>
                <w:rFonts w:cstheme="minorHAnsi"/>
                <w:color w:val="FF0000"/>
              </w:rPr>
            </w:pPr>
          </w:p>
          <w:p w:rsidR="009F366C" w:rsidRPr="00AF2789" w:rsidRDefault="007450B1" w:rsidP="00AF2789">
            <w:pPr>
              <w:rPr>
                <w:rFonts w:cstheme="minorHAnsi"/>
              </w:rPr>
            </w:pPr>
            <w:r w:rsidRPr="00AF2789">
              <w:rPr>
                <w:rFonts w:cstheme="minorHAnsi"/>
                <w:color w:val="FF0000"/>
              </w:rPr>
              <w:t xml:space="preserve"> </w:t>
            </w:r>
            <w:r w:rsidR="00AF2789" w:rsidRPr="00AF2789">
              <w:rPr>
                <w:rFonts w:cstheme="minorHAnsi"/>
              </w:rPr>
              <w:t xml:space="preserve">Equality </w:t>
            </w:r>
            <w:r w:rsidRPr="00AF2789">
              <w:rPr>
                <w:rFonts w:cstheme="minorHAnsi"/>
              </w:rPr>
              <w:t xml:space="preserve">Impact Assessment to </w:t>
            </w:r>
            <w:r w:rsidR="00AF2789" w:rsidRPr="00AF2789">
              <w:rPr>
                <w:rFonts w:cstheme="minorHAnsi"/>
              </w:rPr>
              <w:t>follow</w:t>
            </w:r>
          </w:p>
          <w:p w:rsidR="00AF2789" w:rsidRPr="004C0FA9" w:rsidRDefault="00AF2789" w:rsidP="00AF2789">
            <w:pPr>
              <w:rPr>
                <w:rFonts w:cstheme="minorHAnsi"/>
                <w:color w:val="FF0000"/>
              </w:rPr>
            </w:pPr>
          </w:p>
        </w:tc>
      </w:tr>
    </w:tbl>
    <w:p w:rsidR="00BB68CE" w:rsidRPr="004C0FA9" w:rsidRDefault="00BB68CE" w:rsidP="00BB1AA1">
      <w:pPr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8CE" w:rsidTr="00657E2B">
        <w:tc>
          <w:tcPr>
            <w:tcW w:w="9016" w:type="dxa"/>
            <w:shd w:val="clear" w:color="auto" w:fill="BDD6EE" w:themeFill="accent1" w:themeFillTint="66"/>
          </w:tcPr>
          <w:p w:rsidR="00BB68CE" w:rsidRPr="004E68A1" w:rsidRDefault="00BB68CE" w:rsidP="00F2342B">
            <w:pPr>
              <w:pStyle w:val="Heading1"/>
              <w:spacing w:before="0" w:line="360" w:lineRule="auto"/>
              <w:outlineLvl w:val="0"/>
              <w:rPr>
                <w:rFonts w:asciiTheme="minorHAnsi" w:hAnsiTheme="minorHAnsi" w:cstheme="minorHAnsi"/>
                <w:b/>
                <w:sz w:val="40"/>
              </w:rPr>
            </w:pPr>
            <w:bookmarkStart w:id="3" w:name="_Toc74752806"/>
            <w:r w:rsidRPr="004E68A1">
              <w:rPr>
                <w:rFonts w:asciiTheme="minorHAnsi" w:hAnsiTheme="minorHAnsi" w:cstheme="minorHAnsi"/>
                <w:b/>
                <w:color w:val="auto"/>
                <w:sz w:val="24"/>
              </w:rPr>
              <w:t>Definitions</w:t>
            </w:r>
            <w:bookmarkEnd w:id="3"/>
          </w:p>
        </w:tc>
      </w:tr>
      <w:tr w:rsidR="00BB68CE" w:rsidTr="00657E2B">
        <w:tc>
          <w:tcPr>
            <w:tcW w:w="9016" w:type="dxa"/>
          </w:tcPr>
          <w:p w:rsidR="00A60423" w:rsidRPr="00A60423" w:rsidRDefault="00A60423" w:rsidP="00A60423">
            <w:pPr>
              <w:pStyle w:val="ListParagraph"/>
              <w:numPr>
                <w:ilvl w:val="0"/>
                <w:numId w:val="14"/>
              </w:numPr>
              <w:snapToGrid w:val="0"/>
              <w:spacing w:before="40" w:after="40"/>
              <w:rPr>
                <w:rFonts w:cstheme="minorHAnsi"/>
              </w:rPr>
            </w:pPr>
            <w:r w:rsidRPr="00A60423">
              <w:rPr>
                <w:rFonts w:cstheme="minorHAnsi"/>
              </w:rPr>
              <w:t>Academic Appeal</w:t>
            </w:r>
          </w:p>
          <w:p w:rsidR="00A60423" w:rsidRDefault="00A60423" w:rsidP="00A60423">
            <w:pPr>
              <w:snapToGrid w:val="0"/>
              <w:spacing w:before="40" w:after="40"/>
              <w:rPr>
                <w:rFonts w:cstheme="minorHAnsi"/>
              </w:rPr>
            </w:pPr>
            <w:r w:rsidRPr="00782DB7">
              <w:rPr>
                <w:rFonts w:cstheme="minorHAnsi"/>
              </w:rPr>
              <w:t>For the purposes of this document, and in line with external sector requirements an academic appeal is defined as “a request for a review of a decision of an academic body charged with making decisions on student progress, assessment and awards.”</w:t>
            </w:r>
          </w:p>
          <w:p w:rsidR="00A60423" w:rsidRDefault="00A60423" w:rsidP="00A60423">
            <w:pPr>
              <w:snapToGrid w:val="0"/>
              <w:spacing w:before="40" w:after="40"/>
              <w:rPr>
                <w:rFonts w:cstheme="minorHAnsi"/>
              </w:rPr>
            </w:pPr>
          </w:p>
          <w:p w:rsidR="00A60423" w:rsidRPr="00A60423" w:rsidRDefault="00A60423" w:rsidP="00A60423">
            <w:pPr>
              <w:pStyle w:val="ListParagraph"/>
              <w:numPr>
                <w:ilvl w:val="0"/>
                <w:numId w:val="14"/>
              </w:numPr>
              <w:snapToGrid w:val="0"/>
              <w:spacing w:before="40" w:after="40"/>
              <w:rPr>
                <w:rFonts w:cstheme="minorHAnsi"/>
              </w:rPr>
            </w:pPr>
            <w:r w:rsidRPr="00A60423">
              <w:rPr>
                <w:rFonts w:cstheme="minorHAnsi"/>
              </w:rPr>
              <w:t>Complaint</w:t>
            </w:r>
          </w:p>
          <w:p w:rsidR="00A60423" w:rsidRPr="00782DB7" w:rsidRDefault="00A60423" w:rsidP="00A60423">
            <w:pPr>
              <w:snapToGrid w:val="0"/>
              <w:spacing w:before="40" w:after="40"/>
              <w:rPr>
                <w:rFonts w:cstheme="minorHAnsi"/>
              </w:rPr>
            </w:pPr>
            <w:r w:rsidRPr="00782DB7">
              <w:rPr>
                <w:rFonts w:cstheme="minorHAnsi"/>
              </w:rPr>
              <w:t xml:space="preserve">A complaint is defined as the expression of a concern about the provision of a course or programme of study, or a related academic service and is subject to consideration in accordance with the University of Hull’s Regulations for the Investigation and Determination of Complaints by Students.  </w:t>
            </w:r>
          </w:p>
          <w:p w:rsidR="00A60423" w:rsidRDefault="00A60423" w:rsidP="00A60423">
            <w:pPr>
              <w:snapToGrid w:val="0"/>
              <w:spacing w:before="40" w:after="40"/>
              <w:rPr>
                <w:rFonts w:cstheme="minorHAnsi"/>
              </w:rPr>
            </w:pPr>
          </w:p>
          <w:p w:rsidR="00A60423" w:rsidRPr="000622AC" w:rsidRDefault="00A60423" w:rsidP="00A60423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0622AC">
              <w:rPr>
                <w:rFonts w:cstheme="minorHAnsi"/>
              </w:rPr>
              <w:t xml:space="preserve">Complaints made by students are considered by the conservatoire under its Complaints Procedure.  </w:t>
            </w:r>
          </w:p>
          <w:p w:rsidR="00A60423" w:rsidRPr="000622AC" w:rsidRDefault="00A60423" w:rsidP="00A60423">
            <w:pPr>
              <w:snapToGrid w:val="0"/>
              <w:spacing w:before="40" w:after="40"/>
              <w:jc w:val="both"/>
              <w:rPr>
                <w:rFonts w:cstheme="minorHAnsi"/>
              </w:rPr>
            </w:pPr>
            <w:r w:rsidRPr="000622AC">
              <w:rPr>
                <w:rStyle w:val="Hyperlink"/>
                <w:rFonts w:cstheme="minorHAnsi"/>
              </w:rPr>
              <w:t>https://www.leedsconservatoire.ac.uk/about-us/about-leeds-conservatoire/corporate/policies/</w:t>
            </w:r>
          </w:p>
          <w:p w:rsidR="00FE4A93" w:rsidRPr="006E75CC" w:rsidRDefault="00FE4A93" w:rsidP="00A60423">
            <w:pPr>
              <w:pStyle w:val="ListParagraph"/>
              <w:ind w:left="0"/>
              <w:rPr>
                <w:rFonts w:cstheme="minorHAnsi"/>
                <w:color w:val="FF0000"/>
              </w:rPr>
            </w:pPr>
          </w:p>
          <w:p w:rsidR="00CF13C0" w:rsidRPr="009F366C" w:rsidRDefault="00CF13C0" w:rsidP="006E75CC">
            <w:pPr>
              <w:pStyle w:val="ListParagraph"/>
              <w:rPr>
                <w:rFonts w:cstheme="minorHAnsi"/>
              </w:rPr>
            </w:pPr>
          </w:p>
        </w:tc>
      </w:tr>
    </w:tbl>
    <w:p w:rsidR="00CA28CE" w:rsidRPr="00BB68CE" w:rsidRDefault="00CA28CE" w:rsidP="00BB1AA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8CE" w:rsidTr="00657E2B">
        <w:tc>
          <w:tcPr>
            <w:tcW w:w="9016" w:type="dxa"/>
            <w:shd w:val="clear" w:color="auto" w:fill="BDD6EE" w:themeFill="accent1" w:themeFillTint="66"/>
          </w:tcPr>
          <w:p w:rsidR="00BB68CE" w:rsidRPr="004E68A1" w:rsidRDefault="00BB68CE" w:rsidP="00F2342B">
            <w:pPr>
              <w:pStyle w:val="Heading1"/>
              <w:spacing w:before="0" w:line="360" w:lineRule="auto"/>
              <w:outlineLvl w:val="0"/>
              <w:rPr>
                <w:rFonts w:asciiTheme="minorHAnsi" w:hAnsiTheme="minorHAnsi" w:cstheme="minorHAnsi"/>
                <w:b/>
                <w:sz w:val="40"/>
              </w:rPr>
            </w:pPr>
            <w:bookmarkStart w:id="4" w:name="_Toc74752807"/>
            <w:r w:rsidRPr="004E68A1">
              <w:rPr>
                <w:rFonts w:asciiTheme="minorHAnsi" w:hAnsiTheme="minorHAnsi" w:cstheme="minorHAnsi"/>
                <w:b/>
                <w:color w:val="auto"/>
                <w:sz w:val="24"/>
              </w:rPr>
              <w:t>Policy</w:t>
            </w:r>
            <w:bookmarkEnd w:id="4"/>
          </w:p>
        </w:tc>
      </w:tr>
      <w:tr w:rsidR="00BB68CE" w:rsidTr="00657E2B">
        <w:tc>
          <w:tcPr>
            <w:tcW w:w="9016" w:type="dxa"/>
          </w:tcPr>
          <w:p w:rsidR="00BB68CE" w:rsidRDefault="00BB68CE" w:rsidP="009F366C">
            <w:pPr>
              <w:rPr>
                <w:rFonts w:cstheme="minorHAnsi"/>
              </w:rPr>
            </w:pPr>
          </w:p>
          <w:p w:rsidR="00A60423" w:rsidRPr="00757EA7" w:rsidRDefault="00A60423" w:rsidP="00A60423">
            <w:pPr>
              <w:snapToGrid w:val="0"/>
              <w:rPr>
                <w:rFonts w:cstheme="minorHAnsi"/>
              </w:rPr>
            </w:pPr>
            <w:r w:rsidRPr="00757EA7">
              <w:rPr>
                <w:rFonts w:cstheme="minorHAnsi"/>
              </w:rPr>
              <w:t>Leeds Conservatoire is committed to ensuring that its assessment processes are applied consistently and equitably, with reliability, validity and fairness.</w:t>
            </w:r>
          </w:p>
          <w:p w:rsidR="00A60423" w:rsidRPr="00757EA7" w:rsidRDefault="00A60423" w:rsidP="00A60423">
            <w:pPr>
              <w:snapToGrid w:val="0"/>
              <w:rPr>
                <w:rFonts w:cstheme="minorHAnsi"/>
              </w:rPr>
            </w:pPr>
          </w:p>
          <w:p w:rsidR="00A60423" w:rsidRPr="00757EA7" w:rsidRDefault="00A60423" w:rsidP="00A60423">
            <w:pPr>
              <w:snapToGrid w:val="0"/>
              <w:rPr>
                <w:rFonts w:cstheme="minorHAnsi"/>
              </w:rPr>
            </w:pPr>
            <w:r w:rsidRPr="00757EA7">
              <w:rPr>
                <w:rFonts w:cstheme="minorHAnsi"/>
              </w:rPr>
              <w:t>As part of this commitment, the conservatoire has a mechanism for students to request a review of a decision of a Board of Examiners where they have grounds to do so.</w:t>
            </w:r>
          </w:p>
          <w:p w:rsidR="00A60423" w:rsidRPr="00757EA7" w:rsidRDefault="00A60423" w:rsidP="00A60423">
            <w:pPr>
              <w:snapToGrid w:val="0"/>
              <w:rPr>
                <w:rFonts w:cstheme="minorHAnsi"/>
                <w:bCs/>
              </w:rPr>
            </w:pPr>
          </w:p>
          <w:p w:rsidR="00A60423" w:rsidRPr="00757EA7" w:rsidRDefault="00A60423" w:rsidP="00A60423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757EA7">
              <w:rPr>
                <w:rFonts w:cstheme="minorHAnsi"/>
              </w:rPr>
              <w:t xml:space="preserve">s a collaborative partner of the University of Hull, </w:t>
            </w:r>
            <w:r>
              <w:rPr>
                <w:rFonts w:cstheme="minorHAnsi"/>
              </w:rPr>
              <w:t>Leeds Conservatoire</w:t>
            </w:r>
            <w:r w:rsidRPr="00757E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considers</w:t>
            </w:r>
            <w:r w:rsidRPr="00757EA7">
              <w:rPr>
                <w:rFonts w:cstheme="minorHAnsi"/>
              </w:rPr>
              <w:t xml:space="preserve"> academic results queries and appeals in accordance with the University of Hull regulations.  </w:t>
            </w:r>
          </w:p>
          <w:p w:rsidR="00A60423" w:rsidRPr="00757EA7" w:rsidRDefault="00A60423" w:rsidP="00A60423">
            <w:pPr>
              <w:snapToGrid w:val="0"/>
              <w:rPr>
                <w:rFonts w:cstheme="minorHAnsi"/>
              </w:rPr>
            </w:pPr>
          </w:p>
          <w:p w:rsidR="00A60423" w:rsidRPr="00757EA7" w:rsidRDefault="00A60423" w:rsidP="00A60423">
            <w:pPr>
              <w:snapToGrid w:val="0"/>
              <w:rPr>
                <w:rFonts w:cstheme="minorHAnsi"/>
              </w:rPr>
            </w:pPr>
            <w:r w:rsidRPr="00757EA7">
              <w:rPr>
                <w:rFonts w:cstheme="minorHAnsi"/>
              </w:rPr>
              <w:t>It is not feasible for the conservatoire to simply adopt the University of Hull regulations as is since there are considerable differences between us in size, structure and breadth.</w:t>
            </w:r>
          </w:p>
          <w:p w:rsidR="00A60423" w:rsidRPr="00757EA7" w:rsidRDefault="00A60423" w:rsidP="00A60423">
            <w:pPr>
              <w:snapToGrid w:val="0"/>
              <w:rPr>
                <w:rFonts w:cstheme="minorHAnsi"/>
              </w:rPr>
            </w:pPr>
          </w:p>
          <w:p w:rsidR="00A60423" w:rsidRDefault="00A60423" w:rsidP="00A60423">
            <w:pPr>
              <w:snapToGrid w:val="0"/>
              <w:rPr>
                <w:rFonts w:cstheme="minorHAnsi"/>
              </w:rPr>
            </w:pPr>
            <w:r w:rsidRPr="00757EA7">
              <w:rPr>
                <w:rFonts w:cstheme="minorHAnsi"/>
              </w:rPr>
              <w:t>The procedure</w:t>
            </w:r>
            <w:r>
              <w:rPr>
                <w:rFonts w:cstheme="minorHAnsi"/>
              </w:rPr>
              <w:t>s</w:t>
            </w:r>
            <w:r w:rsidRPr="00757EA7">
              <w:rPr>
                <w:rFonts w:cstheme="minorHAnsi"/>
              </w:rPr>
              <w:t xml:space="preserve"> for the consideration of Academic Appeals </w:t>
            </w:r>
            <w:r w:rsidRPr="00D86B38">
              <w:rPr>
                <w:rFonts w:cstheme="minorHAnsi"/>
              </w:rPr>
              <w:t xml:space="preserve">reflect the expectations set out in the Quality Assurance Agency UK Quality Code of Higher Education and the general principles embodied in the University of Hull Appeals Regulations.   </w:t>
            </w:r>
          </w:p>
          <w:p w:rsidR="00A60423" w:rsidRDefault="00A60423" w:rsidP="00A60423">
            <w:pPr>
              <w:snapToGrid w:val="0"/>
              <w:rPr>
                <w:rFonts w:cstheme="minorHAnsi"/>
                <w:b/>
              </w:rPr>
            </w:pPr>
          </w:p>
          <w:p w:rsidR="00A60423" w:rsidRPr="000622AC" w:rsidRDefault="00A60423" w:rsidP="00A60423">
            <w:pPr>
              <w:snapToGrid w:val="0"/>
              <w:spacing w:before="40" w:after="40"/>
              <w:rPr>
                <w:rFonts w:cstheme="minorHAnsi"/>
              </w:rPr>
            </w:pPr>
            <w:r w:rsidRPr="00757EA7">
              <w:rPr>
                <w:rFonts w:cstheme="minorHAnsi"/>
              </w:rPr>
              <w:t xml:space="preserve">The </w:t>
            </w:r>
            <w:r w:rsidRPr="00782DB7">
              <w:rPr>
                <w:rFonts w:cstheme="minorHAnsi"/>
              </w:rPr>
              <w:t>University of Hull Code of Practice: Academic Appeals (UG/PGT)</w:t>
            </w:r>
            <w:r>
              <w:rPr>
                <w:rFonts w:cstheme="minorHAnsi"/>
              </w:rPr>
              <w:t xml:space="preserve"> </w:t>
            </w:r>
            <w:r w:rsidRPr="000622AC">
              <w:rPr>
                <w:rFonts w:cstheme="minorHAnsi"/>
              </w:rPr>
              <w:t>may be accessed on their website here</w:t>
            </w:r>
          </w:p>
          <w:p w:rsidR="00A60423" w:rsidRPr="00A60423" w:rsidRDefault="00A60423" w:rsidP="00A60423">
            <w:pPr>
              <w:snapToGrid w:val="0"/>
              <w:rPr>
                <w:rFonts w:cstheme="minorHAnsi"/>
                <w:b/>
              </w:rPr>
            </w:pPr>
            <w:r w:rsidRPr="00782DB7">
              <w:rPr>
                <w:rFonts w:cstheme="minorHAnsi"/>
              </w:rPr>
              <w:lastRenderedPageBreak/>
              <w:t>https://www.hull.ac.uk/choose-hull/university-and-region/key-documents/quality</w:t>
            </w:r>
          </w:p>
          <w:p w:rsidR="009F366C" w:rsidRPr="009F366C" w:rsidRDefault="009F366C" w:rsidP="009F366C">
            <w:pPr>
              <w:rPr>
                <w:rFonts w:cstheme="minorHAnsi"/>
              </w:rPr>
            </w:pPr>
          </w:p>
        </w:tc>
      </w:tr>
    </w:tbl>
    <w:p w:rsidR="00BB68CE" w:rsidRPr="00BB68CE" w:rsidRDefault="00BB68CE" w:rsidP="00BB1AA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8CE" w:rsidTr="00657E2B">
        <w:tc>
          <w:tcPr>
            <w:tcW w:w="9016" w:type="dxa"/>
            <w:shd w:val="clear" w:color="auto" w:fill="BDD6EE" w:themeFill="accent1" w:themeFillTint="66"/>
          </w:tcPr>
          <w:p w:rsidR="00BB68CE" w:rsidRPr="004E68A1" w:rsidRDefault="00BB68CE" w:rsidP="00F2342B">
            <w:pPr>
              <w:pStyle w:val="Heading1"/>
              <w:spacing w:before="0" w:line="360" w:lineRule="auto"/>
              <w:outlineLvl w:val="0"/>
              <w:rPr>
                <w:rFonts w:asciiTheme="minorHAnsi" w:hAnsiTheme="minorHAnsi" w:cstheme="minorHAnsi"/>
                <w:b/>
                <w:sz w:val="40"/>
              </w:rPr>
            </w:pPr>
            <w:bookmarkStart w:id="5" w:name="_Toc74752808"/>
            <w:r w:rsidRPr="004E68A1">
              <w:rPr>
                <w:rFonts w:asciiTheme="minorHAnsi" w:hAnsiTheme="minorHAnsi" w:cstheme="minorHAnsi"/>
                <w:b/>
                <w:color w:val="auto"/>
                <w:sz w:val="24"/>
              </w:rPr>
              <w:t>Procedure</w:t>
            </w:r>
            <w:bookmarkEnd w:id="5"/>
          </w:p>
        </w:tc>
      </w:tr>
      <w:tr w:rsidR="00BB68CE" w:rsidTr="00657E2B">
        <w:tc>
          <w:tcPr>
            <w:tcW w:w="9016" w:type="dxa"/>
          </w:tcPr>
          <w:p w:rsidR="00BB68CE" w:rsidRDefault="00BB68CE" w:rsidP="009F366C">
            <w:pPr>
              <w:rPr>
                <w:rFonts w:cstheme="minorHAnsi"/>
              </w:rPr>
            </w:pPr>
          </w:p>
          <w:p w:rsidR="009F366C" w:rsidRDefault="009F366C" w:rsidP="009F36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policy is </w:t>
            </w:r>
            <w:r w:rsidR="00A60423">
              <w:rPr>
                <w:rFonts w:cstheme="minorHAnsi"/>
              </w:rPr>
              <w:t>implemented</w:t>
            </w:r>
            <w:r>
              <w:rPr>
                <w:rFonts w:cstheme="minorHAnsi"/>
              </w:rPr>
              <w:t xml:space="preserve"> by appropriate procedures and guidance which are reviewed and signed off by the relevant Head of Department annually, for example:</w:t>
            </w:r>
          </w:p>
          <w:p w:rsidR="009F366C" w:rsidRDefault="009F366C" w:rsidP="009F366C">
            <w:pPr>
              <w:rPr>
                <w:rFonts w:cstheme="minorHAnsi"/>
              </w:rPr>
            </w:pPr>
          </w:p>
          <w:p w:rsidR="007C6F7E" w:rsidRPr="00584EF3" w:rsidRDefault="00A60423" w:rsidP="00584EF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Academic Appeals</w:t>
            </w:r>
            <w:r w:rsidR="007C6F7E" w:rsidRPr="00584EF3">
              <w:rPr>
                <w:rFonts w:cstheme="minorHAnsi"/>
              </w:rPr>
              <w:t xml:space="preserve"> Procedure</w:t>
            </w:r>
          </w:p>
          <w:p w:rsidR="00584EF3" w:rsidRDefault="00A60423" w:rsidP="00584EF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Academic Appeal F</w:t>
            </w:r>
            <w:r w:rsidR="00A95F45">
              <w:rPr>
                <w:rFonts w:cstheme="minorHAnsi"/>
              </w:rPr>
              <w:t>or</w:t>
            </w:r>
            <w:r>
              <w:rPr>
                <w:rFonts w:cstheme="minorHAnsi"/>
              </w:rPr>
              <w:t>m</w:t>
            </w:r>
          </w:p>
          <w:p w:rsidR="00A60423" w:rsidRPr="00584EF3" w:rsidRDefault="00A60423" w:rsidP="00584EF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Mitigating Circumstances Procedure</w:t>
            </w:r>
          </w:p>
          <w:p w:rsidR="00A23E27" w:rsidRPr="00A23E27" w:rsidRDefault="00A23E27" w:rsidP="00A23E27">
            <w:pPr>
              <w:rPr>
                <w:rFonts w:cstheme="minorHAnsi"/>
              </w:rPr>
            </w:pPr>
          </w:p>
        </w:tc>
      </w:tr>
    </w:tbl>
    <w:p w:rsidR="00BB68CE" w:rsidRPr="00F2342B" w:rsidRDefault="00BB68CE" w:rsidP="00BB1AA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342B" w:rsidTr="00657E2B">
        <w:tc>
          <w:tcPr>
            <w:tcW w:w="9016" w:type="dxa"/>
            <w:shd w:val="clear" w:color="auto" w:fill="BDD6EE" w:themeFill="accent1" w:themeFillTint="66"/>
          </w:tcPr>
          <w:p w:rsidR="00F2342B" w:rsidRPr="004E68A1" w:rsidRDefault="00F2342B" w:rsidP="00657E2B">
            <w:pPr>
              <w:pStyle w:val="Heading1"/>
              <w:spacing w:before="0" w:line="360" w:lineRule="auto"/>
              <w:outlineLvl w:val="0"/>
              <w:rPr>
                <w:rFonts w:asciiTheme="minorHAnsi" w:hAnsiTheme="minorHAnsi" w:cstheme="minorHAnsi"/>
                <w:b/>
                <w:sz w:val="40"/>
              </w:rPr>
            </w:pPr>
            <w:bookmarkStart w:id="6" w:name="_Toc74752809"/>
            <w:r w:rsidRPr="004E68A1">
              <w:rPr>
                <w:rFonts w:asciiTheme="minorHAnsi" w:hAnsiTheme="minorHAnsi" w:cstheme="minorHAnsi"/>
                <w:b/>
                <w:color w:val="auto"/>
                <w:sz w:val="24"/>
              </w:rPr>
              <w:t>Breach of Policy</w:t>
            </w:r>
            <w:bookmarkEnd w:id="6"/>
          </w:p>
        </w:tc>
      </w:tr>
      <w:tr w:rsidR="00F2342B" w:rsidTr="00657E2B">
        <w:tc>
          <w:tcPr>
            <w:tcW w:w="9016" w:type="dxa"/>
          </w:tcPr>
          <w:p w:rsidR="009F366C" w:rsidRPr="009F366C" w:rsidRDefault="009F366C" w:rsidP="009F366C">
            <w:pPr>
              <w:rPr>
                <w:rFonts w:cstheme="minorHAnsi"/>
              </w:rPr>
            </w:pPr>
          </w:p>
          <w:p w:rsidR="00D2464A" w:rsidRPr="00D2464A" w:rsidRDefault="00D2464A" w:rsidP="00D2464A">
            <w:pPr>
              <w:pStyle w:val="ListParagraph"/>
              <w:ind w:left="0"/>
              <w:rPr>
                <w:rFonts w:cstheme="minorHAnsi"/>
              </w:rPr>
            </w:pPr>
            <w:r w:rsidRPr="00D2464A">
              <w:rPr>
                <w:rFonts w:cstheme="minorHAnsi"/>
              </w:rPr>
              <w:t xml:space="preserve">Breach of this policy carries a risk </w:t>
            </w:r>
            <w:r w:rsidR="00A62770">
              <w:rPr>
                <w:rFonts w:cstheme="minorHAnsi"/>
              </w:rPr>
              <w:t>that students’ academic appeals will not be considered and resolved fairly and in line with academic regulations.</w:t>
            </w:r>
          </w:p>
          <w:p w:rsidR="00FE4A93" w:rsidRPr="009F366C" w:rsidRDefault="00FE4A93" w:rsidP="00D2464A">
            <w:pPr>
              <w:pStyle w:val="ListParagraph"/>
              <w:rPr>
                <w:rFonts w:cstheme="minorHAnsi"/>
              </w:rPr>
            </w:pPr>
          </w:p>
        </w:tc>
      </w:tr>
    </w:tbl>
    <w:p w:rsidR="00F2342B" w:rsidRDefault="00F2342B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p w:rsidR="00F2342B" w:rsidRDefault="00F2342B" w:rsidP="00BB1AA1">
      <w:pPr>
        <w:spacing w:after="0" w:line="240" w:lineRule="auto"/>
        <w:rPr>
          <w:rFonts w:ascii="Rama Gothic E Regular" w:hAnsi="Rama Gothic E Regular"/>
          <w:sz w:val="40"/>
        </w:rPr>
      </w:pPr>
    </w:p>
    <w:sectPr w:rsidR="00F2342B" w:rsidSect="00BB1AA1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16" w:rsidRDefault="005E0816" w:rsidP="00BB1AA1">
      <w:pPr>
        <w:spacing w:after="0" w:line="240" w:lineRule="auto"/>
      </w:pPr>
      <w:r>
        <w:separator/>
      </w:r>
    </w:p>
  </w:endnote>
  <w:endnote w:type="continuationSeparator" w:id="0">
    <w:p w:rsidR="005E0816" w:rsidRDefault="005E0816" w:rsidP="00BB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ma Gothic E Regular">
    <w:panose1 w:val="04050503020B02020202"/>
    <w:charset w:val="00"/>
    <w:family w:val="decorative"/>
    <w:notTrueType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16" w:rsidRDefault="005E0816" w:rsidP="00BB1AA1">
      <w:pPr>
        <w:spacing w:after="0" w:line="240" w:lineRule="auto"/>
      </w:pPr>
      <w:r>
        <w:separator/>
      </w:r>
    </w:p>
  </w:footnote>
  <w:footnote w:type="continuationSeparator" w:id="0">
    <w:p w:rsidR="005E0816" w:rsidRDefault="005E0816" w:rsidP="00BB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EE6" w:rsidRDefault="00C67EE6" w:rsidP="00C67EE6">
    <w:pPr>
      <w:pStyle w:val="Header"/>
      <w:rPr>
        <w:rFonts w:ascii="Rama Gothic E Regular" w:hAnsi="Rama Gothic E Regular"/>
        <w:b/>
        <w:color w:val="1F4E79" w:themeColor="accent1" w:themeShade="80"/>
        <w:sz w:val="40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C0F7FF2" wp14:editId="09AC330B">
          <wp:simplePos x="0" y="0"/>
          <wp:positionH relativeFrom="margin">
            <wp:posOffset>4191000</wp:posOffset>
          </wp:positionH>
          <wp:positionV relativeFrom="paragraph">
            <wp:posOffset>22860</wp:posOffset>
          </wp:positionV>
          <wp:extent cx="1543050" cy="812800"/>
          <wp:effectExtent l="0" t="0" r="0" b="6350"/>
          <wp:wrapThrough wrapText="bothSides">
            <wp:wrapPolygon edited="0">
              <wp:start x="800" y="0"/>
              <wp:lineTo x="0" y="17213"/>
              <wp:lineTo x="0" y="21263"/>
              <wp:lineTo x="3200" y="21263"/>
              <wp:lineTo x="21333" y="19238"/>
              <wp:lineTo x="21333" y="0"/>
              <wp:lineTo x="800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B1BAE041-73DD-4254-9C48-C6B2167C925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EE6" w:rsidRDefault="00A60423" w:rsidP="00C67EE6">
    <w:pPr>
      <w:pStyle w:val="Header"/>
      <w:rPr>
        <w:rFonts w:ascii="Rama Gothic E Regular" w:hAnsi="Rama Gothic E Regular"/>
        <w:b/>
        <w:color w:val="1F4E79" w:themeColor="accent1" w:themeShade="80"/>
        <w:sz w:val="56"/>
      </w:rPr>
    </w:pPr>
    <w:r>
      <w:rPr>
        <w:rFonts w:ascii="Rama Gothic E Regular" w:hAnsi="Rama Gothic E Regular"/>
        <w:b/>
        <w:color w:val="1F4E79" w:themeColor="accent1" w:themeShade="80"/>
        <w:sz w:val="56"/>
      </w:rPr>
      <w:t>Academic Appeals</w:t>
    </w:r>
    <w:r w:rsidR="001D4621">
      <w:rPr>
        <w:rFonts w:ascii="Rama Gothic E Regular" w:hAnsi="Rama Gothic E Regular"/>
        <w:b/>
        <w:color w:val="1F4E79" w:themeColor="accent1" w:themeShade="80"/>
        <w:sz w:val="56"/>
      </w:rPr>
      <w:t xml:space="preserve"> Policy</w:t>
    </w:r>
  </w:p>
  <w:p w:rsidR="005B67B0" w:rsidRPr="00685D78" w:rsidRDefault="005B67B0" w:rsidP="00C67EE6">
    <w:pPr>
      <w:pStyle w:val="Header"/>
      <w:rPr>
        <w:rFonts w:ascii="Rama Gothic E Regular" w:hAnsi="Rama Gothic E Regular"/>
        <w:sz w:val="48"/>
      </w:rPr>
    </w:pPr>
    <w:r>
      <w:rPr>
        <w:rFonts w:ascii="Rama Gothic E Regular" w:hAnsi="Rama Gothic E Regular"/>
        <w:sz w:val="48"/>
      </w:rPr>
      <w:t>2023-24</w:t>
    </w:r>
  </w:p>
  <w:p w:rsidR="00C67EE6" w:rsidRPr="00C67EE6" w:rsidRDefault="00C67EE6">
    <w:pPr>
      <w:pStyle w:val="Header"/>
      <w:rPr>
        <w:rFonts w:ascii="Rama Gothic E Regular" w:hAnsi="Rama Gothic E Regular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2F1"/>
    <w:multiLevelType w:val="hybridMultilevel"/>
    <w:tmpl w:val="AE7A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780"/>
    <w:multiLevelType w:val="hybridMultilevel"/>
    <w:tmpl w:val="6F04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3F5A"/>
    <w:multiLevelType w:val="hybridMultilevel"/>
    <w:tmpl w:val="E68A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1BEC"/>
    <w:multiLevelType w:val="hybridMultilevel"/>
    <w:tmpl w:val="60424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77B16"/>
    <w:multiLevelType w:val="hybridMultilevel"/>
    <w:tmpl w:val="7DF8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F2A26"/>
    <w:multiLevelType w:val="hybridMultilevel"/>
    <w:tmpl w:val="449CA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97B44"/>
    <w:multiLevelType w:val="hybridMultilevel"/>
    <w:tmpl w:val="A8960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15065"/>
    <w:multiLevelType w:val="hybridMultilevel"/>
    <w:tmpl w:val="DB48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38B1"/>
    <w:multiLevelType w:val="hybridMultilevel"/>
    <w:tmpl w:val="234A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41B6C"/>
    <w:multiLevelType w:val="hybridMultilevel"/>
    <w:tmpl w:val="B024C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7112D"/>
    <w:multiLevelType w:val="hybridMultilevel"/>
    <w:tmpl w:val="2110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9045D"/>
    <w:multiLevelType w:val="hybridMultilevel"/>
    <w:tmpl w:val="4710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E5BC6"/>
    <w:multiLevelType w:val="hybridMultilevel"/>
    <w:tmpl w:val="16F2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F577B"/>
    <w:multiLevelType w:val="hybridMultilevel"/>
    <w:tmpl w:val="B0E0F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A1"/>
    <w:rsid w:val="000004D8"/>
    <w:rsid w:val="00012D57"/>
    <w:rsid w:val="000265D0"/>
    <w:rsid w:val="00052205"/>
    <w:rsid w:val="00113D23"/>
    <w:rsid w:val="001C311A"/>
    <w:rsid w:val="001C6176"/>
    <w:rsid w:val="001D4621"/>
    <w:rsid w:val="00273D64"/>
    <w:rsid w:val="002B05DF"/>
    <w:rsid w:val="0037702D"/>
    <w:rsid w:val="004A14B1"/>
    <w:rsid w:val="004C0FA9"/>
    <w:rsid w:val="004E2FD8"/>
    <w:rsid w:val="004E68A1"/>
    <w:rsid w:val="0054687B"/>
    <w:rsid w:val="00574FFA"/>
    <w:rsid w:val="00584EF3"/>
    <w:rsid w:val="005B67B0"/>
    <w:rsid w:val="005E0816"/>
    <w:rsid w:val="006147F5"/>
    <w:rsid w:val="00685D78"/>
    <w:rsid w:val="00686131"/>
    <w:rsid w:val="006C0B80"/>
    <w:rsid w:val="006E75CC"/>
    <w:rsid w:val="007450B1"/>
    <w:rsid w:val="0076191A"/>
    <w:rsid w:val="00776EDD"/>
    <w:rsid w:val="007900D9"/>
    <w:rsid w:val="007C6F7E"/>
    <w:rsid w:val="007D23F5"/>
    <w:rsid w:val="007E00EE"/>
    <w:rsid w:val="007E7584"/>
    <w:rsid w:val="00833819"/>
    <w:rsid w:val="009B47B3"/>
    <w:rsid w:val="009D505A"/>
    <w:rsid w:val="009F366C"/>
    <w:rsid w:val="00A23E27"/>
    <w:rsid w:val="00A31663"/>
    <w:rsid w:val="00A60423"/>
    <w:rsid w:val="00A62770"/>
    <w:rsid w:val="00A95F45"/>
    <w:rsid w:val="00AF2789"/>
    <w:rsid w:val="00BB1AA1"/>
    <w:rsid w:val="00BB68CE"/>
    <w:rsid w:val="00C67EE6"/>
    <w:rsid w:val="00CA28CE"/>
    <w:rsid w:val="00CF13C0"/>
    <w:rsid w:val="00D2464A"/>
    <w:rsid w:val="00D36CB7"/>
    <w:rsid w:val="00D46837"/>
    <w:rsid w:val="00D71AB0"/>
    <w:rsid w:val="00DB72C0"/>
    <w:rsid w:val="00DD3CD9"/>
    <w:rsid w:val="00E64274"/>
    <w:rsid w:val="00EB0FBD"/>
    <w:rsid w:val="00EC2197"/>
    <w:rsid w:val="00ED1772"/>
    <w:rsid w:val="00F12326"/>
    <w:rsid w:val="00F2342B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813F21C"/>
  <w15:chartTrackingRefBased/>
  <w15:docId w15:val="{B8D3BA7F-776B-457B-B005-A1A02DB0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1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1AA1"/>
  </w:style>
  <w:style w:type="paragraph" w:styleId="Footer">
    <w:name w:val="footer"/>
    <w:basedOn w:val="Normal"/>
    <w:link w:val="FooterChar"/>
    <w:uiPriority w:val="99"/>
    <w:unhideWhenUsed/>
    <w:rsid w:val="00BB1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1"/>
  </w:style>
  <w:style w:type="table" w:styleId="TableGrid">
    <w:name w:val="Table Grid"/>
    <w:basedOn w:val="TableNormal"/>
    <w:uiPriority w:val="39"/>
    <w:rsid w:val="00BB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68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68C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342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234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8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329DB86A9F546B5AF7C210851474F" ma:contentTypeVersion="8" ma:contentTypeDescription="Create a new document." ma:contentTypeScope="" ma:versionID="a54aa9a505188886a565ff3f131fd383">
  <xsd:schema xmlns:xsd="http://www.w3.org/2001/XMLSchema" xmlns:xs="http://www.w3.org/2001/XMLSchema" xmlns:p="http://schemas.microsoft.com/office/2006/metadata/properties" xmlns:ns2="bd68ed2b-16cc-4ad0-9db0-71fcfdca68c6" targetNamespace="http://schemas.microsoft.com/office/2006/metadata/properties" ma:root="true" ma:fieldsID="419a64700d6a2f65006b74e11094ee89" ns2:_="">
    <xsd:import namespace="bd68ed2b-16cc-4ad0-9db0-71fcfdca6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8ed2b-16cc-4ad0-9db0-71fcfdca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581E-4951-44F4-9647-C4CE9B83B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8CD56-62A2-44CE-A7A3-E7BE60B01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8ed2b-16cc-4ad0-9db0-71fcfdca6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ADD04-DC30-47EF-8A36-FF16E8D1CD1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68ed2b-16cc-4ad0-9db0-71fcfdca68c6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801BF2-D73F-414E-98DC-E73D8AE4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College of Music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Pegg,James</dc:creator>
  <cp:keywords/>
  <dc:description/>
  <cp:lastModifiedBy>Bannister,Sophie</cp:lastModifiedBy>
  <cp:revision>5</cp:revision>
  <cp:lastPrinted>2019-02-08T14:05:00Z</cp:lastPrinted>
  <dcterms:created xsi:type="dcterms:W3CDTF">2023-03-09T11:16:00Z</dcterms:created>
  <dcterms:modified xsi:type="dcterms:W3CDTF">2023-03-09T13:09:00Z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0x010100C71329DB86A9F546B5AF7C210851474F</vt:lpwstr>
  </property>
</Properties>
</file>