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61C" w:rsidRPr="001C661C" w:rsidRDefault="001C661C" w:rsidP="00460004">
      <w:pPr>
        <w:pStyle w:val="Heading1"/>
        <w:tabs>
          <w:tab w:val="left" w:pos="6100"/>
        </w:tabs>
        <w:rPr>
          <w:rFonts w:asciiTheme="minorHAnsi" w:hAnsiTheme="minorHAnsi" w:cstheme="minorHAnsi"/>
          <w:b/>
          <w:color w:val="auto"/>
        </w:rPr>
      </w:pPr>
      <w:r w:rsidRPr="001C661C">
        <w:rPr>
          <w:rFonts w:asciiTheme="minorHAnsi" w:hAnsiTheme="minorHAnsi" w:cstheme="minorHAnsi"/>
          <w:b/>
          <w:color w:val="auto"/>
        </w:rPr>
        <w:t>Module Specification</w:t>
      </w:r>
      <w:r w:rsidR="00460004">
        <w:rPr>
          <w:rFonts w:asciiTheme="minorHAnsi" w:hAnsiTheme="minorHAnsi" w:cstheme="minorHAnsi"/>
          <w:b/>
          <w:color w:val="auto"/>
        </w:rPr>
        <w:tab/>
      </w:r>
    </w:p>
    <w:p w:rsidR="00ED5540" w:rsidRDefault="00ED5540" w:rsidP="0087463F">
      <w:pPr>
        <w:spacing w:after="0" w:line="240" w:lineRule="auto"/>
        <w:jc w:val="both"/>
        <w:rPr>
          <w:rFonts w:cstheme="minorHAnsi"/>
          <w:b/>
        </w:rPr>
      </w:pPr>
    </w:p>
    <w:p w:rsidR="00534D47" w:rsidRDefault="006943D9" w:rsidP="0087463F">
      <w:pPr>
        <w:spacing w:after="0" w:line="240" w:lineRule="auto"/>
        <w:jc w:val="both"/>
      </w:pPr>
      <w:r w:rsidRPr="001C661C">
        <w:rPr>
          <w:rFonts w:cstheme="minorHAnsi"/>
          <w:b/>
        </w:rPr>
        <w:t xml:space="preserve">Module Title: </w:t>
      </w:r>
      <w:r w:rsidR="00276BDC">
        <w:t>Contextual Studies 3: Emerging Music Models</w:t>
      </w:r>
    </w:p>
    <w:p w:rsidR="007769F7" w:rsidRPr="001C661C" w:rsidRDefault="007769F7" w:rsidP="0087463F">
      <w:pPr>
        <w:spacing w:after="0" w:line="240" w:lineRule="auto"/>
        <w:jc w:val="both"/>
        <w:rPr>
          <w:rFonts w:cstheme="minorHAnsi"/>
        </w:rPr>
      </w:pPr>
    </w:p>
    <w:tbl>
      <w:tblPr>
        <w:tblStyle w:val="TableGrid"/>
        <w:tblW w:w="0" w:type="auto"/>
        <w:tblLook w:val="04A0" w:firstRow="1" w:lastRow="0" w:firstColumn="1" w:lastColumn="0" w:noHBand="0" w:noVBand="1"/>
      </w:tblPr>
      <w:tblGrid>
        <w:gridCol w:w="2263"/>
        <w:gridCol w:w="2976"/>
        <w:gridCol w:w="1986"/>
        <w:gridCol w:w="3231"/>
      </w:tblGrid>
      <w:tr w:rsidR="0087463F" w:rsidRPr="001C661C" w:rsidTr="00966B12">
        <w:tc>
          <w:tcPr>
            <w:tcW w:w="2263" w:type="dxa"/>
            <w:shd w:val="clear" w:color="auto" w:fill="D9D9D9" w:themeFill="background1" w:themeFillShade="D9"/>
          </w:tcPr>
          <w:p w:rsidR="0087463F" w:rsidRPr="001C661C" w:rsidRDefault="0087463F" w:rsidP="0087463F">
            <w:pPr>
              <w:jc w:val="both"/>
              <w:rPr>
                <w:rFonts w:cstheme="minorHAnsi"/>
                <w:b/>
              </w:rPr>
            </w:pPr>
            <w:r w:rsidRPr="001C661C">
              <w:rPr>
                <w:rFonts w:cstheme="minorHAnsi"/>
                <w:b/>
              </w:rPr>
              <w:t>Module code:</w:t>
            </w:r>
          </w:p>
        </w:tc>
        <w:tc>
          <w:tcPr>
            <w:tcW w:w="2976" w:type="dxa"/>
          </w:tcPr>
          <w:p w:rsidR="0087463F" w:rsidRPr="001C661C" w:rsidRDefault="00276BDC" w:rsidP="007769F7">
            <w:pPr>
              <w:jc w:val="both"/>
              <w:rPr>
                <w:rFonts w:cstheme="minorHAnsi"/>
              </w:rPr>
            </w:pPr>
            <w:r>
              <w:rPr>
                <w:lang w:val="fr-FR"/>
              </w:rPr>
              <w:t>HBASHR026</w:t>
            </w:r>
          </w:p>
        </w:tc>
        <w:tc>
          <w:tcPr>
            <w:tcW w:w="1986" w:type="dxa"/>
            <w:shd w:val="clear" w:color="auto" w:fill="D9D9D9" w:themeFill="background1" w:themeFillShade="D9"/>
          </w:tcPr>
          <w:p w:rsidR="0087463F" w:rsidRPr="001C661C" w:rsidRDefault="0087463F" w:rsidP="0087463F">
            <w:pPr>
              <w:jc w:val="both"/>
              <w:rPr>
                <w:rFonts w:cstheme="minorHAnsi"/>
                <w:b/>
              </w:rPr>
            </w:pPr>
            <w:r w:rsidRPr="001C661C">
              <w:rPr>
                <w:rFonts w:cstheme="minorHAnsi"/>
                <w:b/>
              </w:rPr>
              <w:t>NQF level:</w:t>
            </w:r>
          </w:p>
        </w:tc>
        <w:tc>
          <w:tcPr>
            <w:tcW w:w="3231" w:type="dxa"/>
          </w:tcPr>
          <w:p w:rsidR="0087463F" w:rsidRPr="001C661C" w:rsidRDefault="00400DCB" w:rsidP="0087463F">
            <w:pPr>
              <w:jc w:val="both"/>
              <w:rPr>
                <w:rFonts w:cstheme="minorHAnsi"/>
              </w:rPr>
            </w:pPr>
            <w:r>
              <w:rPr>
                <w:rFonts w:cstheme="minorHAnsi"/>
              </w:rPr>
              <w:t>Level 6</w:t>
            </w:r>
          </w:p>
        </w:tc>
      </w:tr>
      <w:tr w:rsidR="0087463F" w:rsidRPr="001C661C" w:rsidTr="00966B12">
        <w:tc>
          <w:tcPr>
            <w:tcW w:w="2263" w:type="dxa"/>
            <w:shd w:val="clear" w:color="auto" w:fill="D9D9D9" w:themeFill="background1" w:themeFillShade="D9"/>
          </w:tcPr>
          <w:p w:rsidR="0087463F" w:rsidRPr="001C661C" w:rsidRDefault="0087463F" w:rsidP="0087463F">
            <w:pPr>
              <w:jc w:val="both"/>
              <w:rPr>
                <w:rFonts w:cstheme="minorHAnsi"/>
                <w:b/>
              </w:rPr>
            </w:pPr>
            <w:r w:rsidRPr="001C661C">
              <w:rPr>
                <w:rFonts w:cstheme="minorHAnsi"/>
                <w:b/>
              </w:rPr>
              <w:t>Credit value:</w:t>
            </w:r>
          </w:p>
        </w:tc>
        <w:tc>
          <w:tcPr>
            <w:tcW w:w="2976" w:type="dxa"/>
          </w:tcPr>
          <w:p w:rsidR="0087463F" w:rsidRPr="001C661C" w:rsidRDefault="006D0B63" w:rsidP="0087463F">
            <w:pPr>
              <w:jc w:val="both"/>
              <w:rPr>
                <w:rFonts w:cstheme="minorHAnsi"/>
              </w:rPr>
            </w:pPr>
            <w:r>
              <w:rPr>
                <w:rFonts w:cstheme="minorHAnsi"/>
              </w:rPr>
              <w:t>2</w:t>
            </w:r>
            <w:r w:rsidR="000A58BE">
              <w:rPr>
                <w:rFonts w:cstheme="minorHAnsi"/>
              </w:rPr>
              <w:t xml:space="preserve">0 </w:t>
            </w:r>
            <w:r w:rsidR="0087463F" w:rsidRPr="001C661C">
              <w:rPr>
                <w:rFonts w:cstheme="minorHAnsi"/>
              </w:rPr>
              <w:t>credits</w:t>
            </w:r>
          </w:p>
        </w:tc>
        <w:tc>
          <w:tcPr>
            <w:tcW w:w="1986" w:type="dxa"/>
            <w:shd w:val="clear" w:color="auto" w:fill="D9D9D9" w:themeFill="background1" w:themeFillShade="D9"/>
          </w:tcPr>
          <w:p w:rsidR="0087463F" w:rsidRPr="001C661C" w:rsidRDefault="0087463F" w:rsidP="0087463F">
            <w:pPr>
              <w:jc w:val="both"/>
              <w:rPr>
                <w:rFonts w:cstheme="minorHAnsi"/>
                <w:b/>
              </w:rPr>
            </w:pPr>
            <w:r w:rsidRPr="001C661C">
              <w:rPr>
                <w:rFonts w:cstheme="minorHAnsi"/>
                <w:b/>
              </w:rPr>
              <w:t>Semester of study:</w:t>
            </w:r>
          </w:p>
        </w:tc>
        <w:tc>
          <w:tcPr>
            <w:tcW w:w="3231" w:type="dxa"/>
          </w:tcPr>
          <w:p w:rsidR="0087463F" w:rsidRPr="001C661C" w:rsidRDefault="0087463F" w:rsidP="0087463F">
            <w:pPr>
              <w:jc w:val="both"/>
              <w:rPr>
                <w:rFonts w:cstheme="minorHAnsi"/>
              </w:rPr>
            </w:pPr>
            <w:r w:rsidRPr="001C661C">
              <w:rPr>
                <w:rFonts w:cstheme="minorHAnsi"/>
              </w:rPr>
              <w:t>1 and 2</w:t>
            </w:r>
          </w:p>
        </w:tc>
      </w:tr>
      <w:tr w:rsidR="00534D47" w:rsidRPr="001C661C" w:rsidTr="00966B12">
        <w:tc>
          <w:tcPr>
            <w:tcW w:w="2263" w:type="dxa"/>
            <w:shd w:val="clear" w:color="auto" w:fill="D9D9D9" w:themeFill="background1" w:themeFillShade="D9"/>
          </w:tcPr>
          <w:p w:rsidR="00534D47" w:rsidRPr="001C661C" w:rsidRDefault="00E20379" w:rsidP="0087463F">
            <w:pPr>
              <w:jc w:val="both"/>
              <w:rPr>
                <w:rFonts w:cstheme="minorHAnsi"/>
                <w:b/>
              </w:rPr>
            </w:pPr>
            <w:r>
              <w:rPr>
                <w:rFonts w:cstheme="minorHAnsi"/>
                <w:b/>
              </w:rPr>
              <w:t>Module type</w:t>
            </w:r>
            <w:r w:rsidR="00534D47">
              <w:rPr>
                <w:rFonts w:cstheme="minorHAnsi"/>
                <w:b/>
              </w:rPr>
              <w:t>:</w:t>
            </w:r>
          </w:p>
        </w:tc>
        <w:tc>
          <w:tcPr>
            <w:tcW w:w="2976" w:type="dxa"/>
          </w:tcPr>
          <w:p w:rsidR="00534D47" w:rsidRPr="001C661C" w:rsidRDefault="007769F7" w:rsidP="007769F7">
            <w:pPr>
              <w:jc w:val="both"/>
              <w:rPr>
                <w:rFonts w:cstheme="minorHAnsi"/>
              </w:rPr>
            </w:pPr>
            <w:r>
              <w:rPr>
                <w:rFonts w:cstheme="minorHAnsi"/>
              </w:rPr>
              <w:t>Optional</w:t>
            </w:r>
          </w:p>
        </w:tc>
        <w:tc>
          <w:tcPr>
            <w:tcW w:w="1986" w:type="dxa"/>
            <w:shd w:val="clear" w:color="auto" w:fill="D9D9D9" w:themeFill="background1" w:themeFillShade="D9"/>
          </w:tcPr>
          <w:p w:rsidR="00534D47" w:rsidRPr="001C661C" w:rsidRDefault="00534D47" w:rsidP="0087463F">
            <w:pPr>
              <w:jc w:val="both"/>
              <w:rPr>
                <w:rFonts w:cstheme="minorHAnsi"/>
                <w:b/>
              </w:rPr>
            </w:pPr>
            <w:r>
              <w:rPr>
                <w:rFonts w:cstheme="minorHAnsi"/>
                <w:b/>
              </w:rPr>
              <w:t>Pre-requisites:</w:t>
            </w:r>
          </w:p>
        </w:tc>
        <w:tc>
          <w:tcPr>
            <w:tcW w:w="3231" w:type="dxa"/>
          </w:tcPr>
          <w:p w:rsidR="00534D47" w:rsidRPr="001C661C" w:rsidRDefault="00534D47" w:rsidP="0087463F">
            <w:pPr>
              <w:jc w:val="both"/>
              <w:rPr>
                <w:rFonts w:cstheme="minorHAnsi"/>
              </w:rPr>
            </w:pPr>
            <w:r>
              <w:rPr>
                <w:rFonts w:cstheme="minorHAnsi"/>
              </w:rPr>
              <w:t>None</w:t>
            </w:r>
          </w:p>
        </w:tc>
      </w:tr>
      <w:tr w:rsidR="00E20379" w:rsidRPr="001C661C" w:rsidTr="00CD1E8A">
        <w:tc>
          <w:tcPr>
            <w:tcW w:w="2263" w:type="dxa"/>
            <w:shd w:val="clear" w:color="auto" w:fill="D9D9D9" w:themeFill="background1" w:themeFillShade="D9"/>
          </w:tcPr>
          <w:p w:rsidR="00E20379" w:rsidDel="00E20379" w:rsidRDefault="00E20379" w:rsidP="0087463F">
            <w:pPr>
              <w:jc w:val="both"/>
              <w:rPr>
                <w:rFonts w:cstheme="minorHAnsi"/>
                <w:b/>
              </w:rPr>
            </w:pPr>
            <w:r>
              <w:rPr>
                <w:rFonts w:cstheme="minorHAnsi"/>
                <w:b/>
              </w:rPr>
              <w:t>Available to:</w:t>
            </w:r>
          </w:p>
        </w:tc>
        <w:tc>
          <w:tcPr>
            <w:tcW w:w="8193" w:type="dxa"/>
            <w:gridSpan w:val="3"/>
          </w:tcPr>
          <w:p w:rsidR="00E20379" w:rsidRDefault="000A58BE" w:rsidP="00F53AC7">
            <w:pPr>
              <w:rPr>
                <w:rFonts w:cstheme="minorHAnsi"/>
              </w:rPr>
            </w:pPr>
            <w:r>
              <w:rPr>
                <w:rFonts w:cstheme="minorHAnsi"/>
              </w:rPr>
              <w:t xml:space="preserve">BA (Hons) </w:t>
            </w:r>
            <w:r w:rsidR="00000FBC">
              <w:rPr>
                <w:rFonts w:cstheme="minorHAnsi"/>
              </w:rPr>
              <w:t>Music</w:t>
            </w:r>
            <w:r w:rsidR="00166854">
              <w:rPr>
                <w:rFonts w:cstheme="minorHAnsi"/>
              </w:rPr>
              <w:t xml:space="preserve"> </w:t>
            </w:r>
            <w:r w:rsidR="006637A4">
              <w:rPr>
                <w:rFonts w:cstheme="minorHAnsi"/>
              </w:rPr>
              <w:t xml:space="preserve">(Business) </w:t>
            </w:r>
            <w:r w:rsidR="00000FBC">
              <w:rPr>
                <w:rFonts w:cstheme="minorHAnsi"/>
              </w:rPr>
              <w:t>(</w:t>
            </w:r>
            <w:r w:rsidR="007769F7">
              <w:rPr>
                <w:rFonts w:cstheme="minorHAnsi"/>
              </w:rPr>
              <w:t>Classical</w:t>
            </w:r>
            <w:r w:rsidR="00EE2A50">
              <w:rPr>
                <w:rFonts w:cstheme="minorHAnsi"/>
              </w:rPr>
              <w:t>)</w:t>
            </w:r>
            <w:r w:rsidR="0024777D">
              <w:rPr>
                <w:rFonts w:cstheme="minorHAnsi"/>
              </w:rPr>
              <w:t xml:space="preserve"> </w:t>
            </w:r>
            <w:r w:rsidR="006637A4">
              <w:rPr>
                <w:rFonts w:cstheme="minorHAnsi"/>
              </w:rPr>
              <w:t xml:space="preserve">(Film Music) </w:t>
            </w:r>
            <w:r w:rsidR="0024777D">
              <w:rPr>
                <w:rFonts w:cstheme="minorHAnsi"/>
              </w:rPr>
              <w:t>(Folk) (Jazz) (Popular)</w:t>
            </w:r>
            <w:r w:rsidR="00195A65">
              <w:rPr>
                <w:rFonts w:cstheme="minorHAnsi"/>
              </w:rPr>
              <w:t xml:space="preserve"> (Production)</w:t>
            </w:r>
            <w:r w:rsidR="00400DCB">
              <w:rPr>
                <w:rFonts w:cstheme="minorHAnsi"/>
              </w:rPr>
              <w:t xml:space="preserve"> (</w:t>
            </w:r>
            <w:proofErr w:type="spellStart"/>
            <w:r w:rsidR="00400DCB">
              <w:rPr>
                <w:rFonts w:cstheme="minorHAnsi"/>
              </w:rPr>
              <w:t>Songwriting</w:t>
            </w:r>
            <w:proofErr w:type="spellEnd"/>
            <w:r w:rsidR="00400DCB">
              <w:rPr>
                <w:rFonts w:cstheme="minorHAnsi"/>
              </w:rPr>
              <w:t>)</w:t>
            </w:r>
          </w:p>
        </w:tc>
      </w:tr>
    </w:tbl>
    <w:p w:rsidR="00896703" w:rsidRPr="001C661C" w:rsidRDefault="00896703" w:rsidP="0087463F">
      <w:pPr>
        <w:spacing w:after="0" w:line="240" w:lineRule="auto"/>
        <w:jc w:val="both"/>
        <w:rPr>
          <w:rFonts w:cstheme="minorHAnsi"/>
          <w:b/>
        </w:rPr>
      </w:pPr>
    </w:p>
    <w:p w:rsidR="008A2ACE" w:rsidRPr="001C661C" w:rsidRDefault="00436D1C" w:rsidP="000A58BE">
      <w:pPr>
        <w:spacing w:after="0" w:line="240" w:lineRule="auto"/>
        <w:rPr>
          <w:rFonts w:cstheme="minorHAnsi"/>
          <w:b/>
        </w:rPr>
      </w:pPr>
      <w:r w:rsidRPr="001C661C">
        <w:rPr>
          <w:rFonts w:cstheme="minorHAnsi"/>
          <w:b/>
        </w:rPr>
        <w:t xml:space="preserve">Module </w:t>
      </w:r>
      <w:r w:rsidR="00425F09" w:rsidRPr="001C661C">
        <w:rPr>
          <w:rFonts w:cstheme="minorHAnsi"/>
          <w:b/>
        </w:rPr>
        <w:t>overview</w:t>
      </w:r>
    </w:p>
    <w:p w:rsidR="00276BDC" w:rsidRDefault="00276BDC" w:rsidP="00276BDC">
      <w:pPr>
        <w:spacing w:after="0" w:line="240" w:lineRule="auto"/>
      </w:pPr>
      <w:r>
        <w:t>The music business is a fast changing industry and this module addresses emerging business models and new approaches to market research. Areas of study include:</w:t>
      </w:r>
    </w:p>
    <w:p w:rsidR="00276BDC" w:rsidRDefault="00276BDC" w:rsidP="00276BDC">
      <w:pPr>
        <w:spacing w:after="0" w:line="240" w:lineRule="auto"/>
      </w:pPr>
    </w:p>
    <w:p w:rsidR="00276BDC" w:rsidRDefault="00276BDC" w:rsidP="00276BDC">
      <w:pPr>
        <w:pStyle w:val="ListParagraph"/>
        <w:numPr>
          <w:ilvl w:val="0"/>
          <w:numId w:val="35"/>
        </w:numPr>
        <w:spacing w:after="0" w:line="240" w:lineRule="auto"/>
      </w:pPr>
      <w:r>
        <w:t>Structural analysis of the music and neighbouring industries within technological, conceptual, developmental and economic contexts;</w:t>
      </w:r>
    </w:p>
    <w:p w:rsidR="00276BDC" w:rsidRDefault="00276BDC" w:rsidP="00276BDC">
      <w:pPr>
        <w:pStyle w:val="ListParagraph"/>
        <w:numPr>
          <w:ilvl w:val="0"/>
          <w:numId w:val="34"/>
        </w:numPr>
        <w:spacing w:after="0" w:line="240" w:lineRule="auto"/>
      </w:pPr>
      <w:r>
        <w:t>Analysis and contextualisation of strategic management;</w:t>
      </w:r>
    </w:p>
    <w:p w:rsidR="00276BDC" w:rsidRDefault="00276BDC" w:rsidP="00276BDC">
      <w:pPr>
        <w:pStyle w:val="ListParagraph"/>
        <w:numPr>
          <w:ilvl w:val="0"/>
          <w:numId w:val="34"/>
        </w:numPr>
        <w:spacing w:after="0" w:line="240" w:lineRule="auto"/>
      </w:pPr>
      <w:r>
        <w:t>Applying strategy and business model literature; using existing music and entertainment industry literature to address the contexts of strategic management and business model development;</w:t>
      </w:r>
    </w:p>
    <w:p w:rsidR="00276BDC" w:rsidRDefault="00276BDC" w:rsidP="00276BDC">
      <w:pPr>
        <w:pStyle w:val="ListParagraph"/>
        <w:numPr>
          <w:ilvl w:val="0"/>
          <w:numId w:val="34"/>
        </w:numPr>
        <w:spacing w:after="0" w:line="240" w:lineRule="auto"/>
      </w:pPr>
      <w:r>
        <w:t>Industry sectors, segments, practices, operations and niche markets;</w:t>
      </w:r>
    </w:p>
    <w:p w:rsidR="00276BDC" w:rsidRDefault="00276BDC" w:rsidP="00276BDC">
      <w:pPr>
        <w:pStyle w:val="ListParagraph"/>
        <w:numPr>
          <w:ilvl w:val="0"/>
          <w:numId w:val="34"/>
        </w:numPr>
        <w:spacing w:after="0" w:line="240" w:lineRule="auto"/>
      </w:pPr>
      <w:r>
        <w:t>Advanced branding: monetising the commercial value of cultural capital;</w:t>
      </w:r>
    </w:p>
    <w:p w:rsidR="00276BDC" w:rsidRDefault="00276BDC" w:rsidP="00276BDC">
      <w:pPr>
        <w:pStyle w:val="ListParagraph"/>
        <w:numPr>
          <w:ilvl w:val="0"/>
          <w:numId w:val="34"/>
        </w:numPr>
        <w:spacing w:after="0" w:line="240" w:lineRule="auto"/>
      </w:pPr>
      <w:r>
        <w:t>Advanced analytical and evaluation methods – means to ends planning;</w:t>
      </w:r>
    </w:p>
    <w:p w:rsidR="00276BDC" w:rsidRDefault="00276BDC" w:rsidP="00276BDC">
      <w:pPr>
        <w:pStyle w:val="ListParagraph"/>
        <w:numPr>
          <w:ilvl w:val="0"/>
          <w:numId w:val="34"/>
        </w:numPr>
        <w:spacing w:after="0" w:line="240" w:lineRule="auto"/>
      </w:pPr>
      <w:r>
        <w:t>New methods of strategic analysis, contextual and conceptual evaluation;</w:t>
      </w:r>
    </w:p>
    <w:p w:rsidR="00276BDC" w:rsidRDefault="00276BDC" w:rsidP="00276BDC">
      <w:pPr>
        <w:pStyle w:val="ListParagraph"/>
        <w:numPr>
          <w:ilvl w:val="0"/>
          <w:numId w:val="34"/>
        </w:numPr>
        <w:spacing w:after="0" w:line="240" w:lineRule="auto"/>
      </w:pPr>
      <w:r>
        <w:t>Globalisation: challenges, sustainability, communications and ethics;</w:t>
      </w:r>
    </w:p>
    <w:p w:rsidR="00276BDC" w:rsidRDefault="00276BDC" w:rsidP="00276BDC">
      <w:pPr>
        <w:pStyle w:val="ListParagraph"/>
        <w:numPr>
          <w:ilvl w:val="0"/>
          <w:numId w:val="34"/>
        </w:numPr>
        <w:spacing w:after="0" w:line="240" w:lineRule="auto"/>
      </w:pPr>
      <w:r>
        <w:t>Corporate structures and organizational decision making;</w:t>
      </w:r>
    </w:p>
    <w:p w:rsidR="00276BDC" w:rsidRDefault="00276BDC" w:rsidP="00276BDC">
      <w:pPr>
        <w:pStyle w:val="ListParagraph"/>
        <w:numPr>
          <w:ilvl w:val="0"/>
          <w:numId w:val="34"/>
        </w:numPr>
        <w:spacing w:after="0" w:line="240" w:lineRule="auto"/>
      </w:pPr>
      <w:r>
        <w:t>Strategic customer targeting in the music industry;</w:t>
      </w:r>
    </w:p>
    <w:p w:rsidR="00276BDC" w:rsidRDefault="00276BDC" w:rsidP="00276BDC">
      <w:pPr>
        <w:pStyle w:val="ListParagraph"/>
        <w:numPr>
          <w:ilvl w:val="0"/>
          <w:numId w:val="34"/>
        </w:numPr>
        <w:spacing w:after="0" w:line="240" w:lineRule="auto"/>
      </w:pPr>
      <w:r>
        <w:t>Interactive media, social networks, social networking applications, virtual reality, user profiling.</w:t>
      </w:r>
    </w:p>
    <w:p w:rsidR="00195A65" w:rsidRPr="00195A65" w:rsidRDefault="00F04751" w:rsidP="00276BDC">
      <w:pPr>
        <w:pStyle w:val="NoSpacing"/>
      </w:pPr>
      <w:r>
        <w:t xml:space="preserve"> </w:t>
      </w:r>
    </w:p>
    <w:p w:rsidR="004A73FB" w:rsidRDefault="004A73FB" w:rsidP="000A58BE">
      <w:pPr>
        <w:spacing w:after="0" w:line="240" w:lineRule="auto"/>
        <w:rPr>
          <w:rFonts w:cstheme="minorHAnsi"/>
          <w:b/>
        </w:rPr>
      </w:pPr>
      <w:r w:rsidRPr="001C661C">
        <w:rPr>
          <w:rFonts w:cstheme="minorHAnsi"/>
          <w:b/>
        </w:rPr>
        <w:t>Aims</w:t>
      </w:r>
    </w:p>
    <w:p w:rsidR="00276BDC" w:rsidRDefault="00276BDC" w:rsidP="00276BDC">
      <w:pPr>
        <w:spacing w:after="0" w:line="240" w:lineRule="auto"/>
      </w:pPr>
      <w:r w:rsidRPr="00997C4D">
        <w:t>Leeds College of Music recognises that the music industry is a fast changing entity and students need to be aware of the danger of entrenched practices and positions, and how such practices have developed in light of changing business models and innovation. The module therefore examines this fast changing industry in order to ensure that the student understands its dynamic nature and how it may impact upon their success.</w:t>
      </w:r>
    </w:p>
    <w:p w:rsidR="00276BDC" w:rsidRDefault="00276BDC" w:rsidP="00276BDC">
      <w:pPr>
        <w:spacing w:after="0" w:line="240" w:lineRule="auto"/>
      </w:pPr>
    </w:p>
    <w:p w:rsidR="00276BDC" w:rsidRDefault="00276BDC" w:rsidP="00276BDC">
      <w:pPr>
        <w:spacing w:after="0" w:line="240" w:lineRule="auto"/>
      </w:pPr>
      <w:r>
        <w:t>The module aims to:</w:t>
      </w:r>
    </w:p>
    <w:p w:rsidR="00276BDC" w:rsidRDefault="00276BDC" w:rsidP="00276BDC">
      <w:pPr>
        <w:pStyle w:val="ListParagraph"/>
        <w:numPr>
          <w:ilvl w:val="0"/>
          <w:numId w:val="4"/>
        </w:numPr>
        <w:spacing w:after="0" w:line="240" w:lineRule="auto"/>
      </w:pPr>
      <w:r>
        <w:t>Explore</w:t>
      </w:r>
      <w:r w:rsidRPr="00D578C0">
        <w:t xml:space="preserve"> key theoretical and practica</w:t>
      </w:r>
      <w:r>
        <w:t>l matters in strategic decision-</w:t>
      </w:r>
      <w:r w:rsidRPr="00D578C0">
        <w:t>making, with special attention to digital innovation in the context of the music industry</w:t>
      </w:r>
      <w:r>
        <w:t>.</w:t>
      </w:r>
    </w:p>
    <w:p w:rsidR="00276BDC" w:rsidRDefault="00276BDC" w:rsidP="00276BDC">
      <w:pPr>
        <w:pStyle w:val="ListParagraph"/>
        <w:numPr>
          <w:ilvl w:val="0"/>
          <w:numId w:val="4"/>
        </w:numPr>
        <w:spacing w:after="0" w:line="240" w:lineRule="auto"/>
      </w:pPr>
      <w:r w:rsidRPr="00D578C0">
        <w:t>Inspect conventional strategy in both theory and practice, focusing on changing</w:t>
      </w:r>
      <w:r>
        <w:t xml:space="preserve"> business models and innovation.</w:t>
      </w:r>
    </w:p>
    <w:p w:rsidR="00276BDC" w:rsidRDefault="00276BDC" w:rsidP="00276BDC">
      <w:pPr>
        <w:pStyle w:val="ListParagraph"/>
        <w:numPr>
          <w:ilvl w:val="0"/>
          <w:numId w:val="4"/>
        </w:numPr>
        <w:spacing w:after="0" w:line="240" w:lineRule="auto"/>
      </w:pPr>
      <w:r w:rsidRPr="00D578C0">
        <w:t>Critically evaluate entrenched practices and positions and examine new sources of reliable research information on new customer relation types (both businesses and consumers).</w:t>
      </w:r>
    </w:p>
    <w:p w:rsidR="00276BDC" w:rsidRDefault="00276BDC" w:rsidP="00276BDC">
      <w:pPr>
        <w:pStyle w:val="ListParagraph"/>
        <w:numPr>
          <w:ilvl w:val="0"/>
          <w:numId w:val="4"/>
        </w:numPr>
        <w:spacing w:after="0" w:line="240" w:lineRule="auto"/>
      </w:pPr>
      <w:r>
        <w:t xml:space="preserve">Analyse strategic alliances and shifts in entertainment markets </w:t>
      </w:r>
      <w:r w:rsidRPr="00D578C0">
        <w:t>in terms of operations, supply chains, licenses, revenue exploitation, research and networked communications strategies</w:t>
      </w:r>
      <w:r>
        <w:t>.</w:t>
      </w:r>
    </w:p>
    <w:p w:rsidR="00C90D93" w:rsidRPr="00C90D93" w:rsidRDefault="00C90D93" w:rsidP="00C90D93">
      <w:pPr>
        <w:spacing w:after="0" w:line="240" w:lineRule="auto"/>
      </w:pPr>
    </w:p>
    <w:p w:rsidR="00DA29B6" w:rsidRPr="001C661C" w:rsidRDefault="00DA29B6" w:rsidP="00A269B4">
      <w:pPr>
        <w:spacing w:after="0" w:line="240" w:lineRule="auto"/>
        <w:rPr>
          <w:rFonts w:cstheme="minorHAnsi"/>
          <w:b/>
        </w:rPr>
      </w:pPr>
      <w:r w:rsidRPr="001C661C">
        <w:rPr>
          <w:rFonts w:cstheme="minorHAnsi"/>
          <w:b/>
        </w:rPr>
        <w:t>Learning outcomes</w:t>
      </w:r>
    </w:p>
    <w:p w:rsidR="00896703" w:rsidRPr="001C661C" w:rsidRDefault="00896703" w:rsidP="00EE2A50">
      <w:pPr>
        <w:spacing w:after="0" w:line="240" w:lineRule="auto"/>
        <w:rPr>
          <w:rFonts w:cstheme="minorHAnsi"/>
        </w:rPr>
      </w:pPr>
      <w:r w:rsidRPr="001C661C">
        <w:rPr>
          <w:rFonts w:cstheme="minorHAnsi"/>
        </w:rPr>
        <w:t>On successful completion of this module, students will be able to:</w:t>
      </w:r>
    </w:p>
    <w:p w:rsidR="00276BDC" w:rsidRDefault="00276BDC" w:rsidP="00276BDC">
      <w:pPr>
        <w:pStyle w:val="ListParagraph"/>
        <w:numPr>
          <w:ilvl w:val="0"/>
          <w:numId w:val="19"/>
        </w:numPr>
        <w:spacing w:after="0" w:line="240" w:lineRule="auto"/>
        <w:rPr>
          <w:rFonts w:cstheme="minorHAnsi"/>
        </w:rPr>
      </w:pPr>
      <w:r w:rsidRPr="0007254D">
        <w:t xml:space="preserve">Analyse emerging business models, digital methods and new strategic directions within the </w:t>
      </w:r>
      <w:r>
        <w:t>m</w:t>
      </w:r>
      <w:r w:rsidRPr="0007254D">
        <w:t xml:space="preserve">usic </w:t>
      </w:r>
      <w:r>
        <w:t>i</w:t>
      </w:r>
      <w:r w:rsidRPr="0007254D">
        <w:t xml:space="preserve">ndustry exploring the role of music within both fixed and </w:t>
      </w:r>
      <w:r w:rsidR="004F2675">
        <w:t xml:space="preserve">mobile </w:t>
      </w:r>
      <w:bookmarkStart w:id="0" w:name="_GoBack"/>
      <w:bookmarkEnd w:id="0"/>
      <w:r w:rsidRPr="0007254D">
        <w:t>digital media.</w:t>
      </w:r>
      <w:r w:rsidR="000A58BE" w:rsidRPr="00EE2A50">
        <w:rPr>
          <w:rFonts w:cstheme="minorHAnsi"/>
        </w:rPr>
        <w:t xml:space="preserve"> </w:t>
      </w:r>
    </w:p>
    <w:p w:rsidR="00276BDC" w:rsidRPr="00276BDC" w:rsidRDefault="00276BDC" w:rsidP="00276BDC">
      <w:pPr>
        <w:pStyle w:val="ListParagraph"/>
        <w:numPr>
          <w:ilvl w:val="0"/>
          <w:numId w:val="19"/>
        </w:numPr>
        <w:spacing w:after="0" w:line="240" w:lineRule="auto"/>
        <w:rPr>
          <w:rFonts w:cstheme="minorHAnsi"/>
        </w:rPr>
      </w:pPr>
      <w:r w:rsidRPr="0007254D">
        <w:lastRenderedPageBreak/>
        <w:t>Address new approaches to market research and product development in relation to changing audience/consumer trends identifying sustainable strategies in response to shifts in production and consumption, economic modelling and revenue.</w:t>
      </w:r>
    </w:p>
    <w:p w:rsidR="00F53AC7" w:rsidRPr="00276BDC" w:rsidRDefault="00276BDC" w:rsidP="00276BDC">
      <w:pPr>
        <w:pStyle w:val="ListParagraph"/>
        <w:numPr>
          <w:ilvl w:val="0"/>
          <w:numId w:val="19"/>
        </w:numPr>
        <w:spacing w:after="0" w:line="240" w:lineRule="auto"/>
        <w:rPr>
          <w:rFonts w:cstheme="minorHAnsi"/>
        </w:rPr>
      </w:pPr>
      <w:r w:rsidRPr="0007254D">
        <w:t>Examine policy decisions through evolving relationships between industry, government(s) and trade areas, concerning consumers/citizens and stakeholders.</w:t>
      </w:r>
    </w:p>
    <w:p w:rsidR="006D0B63" w:rsidRPr="00F53AC7" w:rsidRDefault="00276BDC" w:rsidP="00B15E9C">
      <w:pPr>
        <w:pStyle w:val="ListParagraph"/>
        <w:numPr>
          <w:ilvl w:val="0"/>
          <w:numId w:val="19"/>
        </w:numPr>
        <w:spacing w:after="0" w:line="240" w:lineRule="auto"/>
        <w:rPr>
          <w:rFonts w:cstheme="minorHAnsi"/>
        </w:rPr>
      </w:pPr>
      <w:r w:rsidRPr="0007254D">
        <w:t>Use supply chain analysis and other operational methods to follow the key revenue/value streams and licenses, communications and organisational models.</w:t>
      </w:r>
    </w:p>
    <w:p w:rsidR="005C5760" w:rsidRPr="005C5760" w:rsidRDefault="005C5760" w:rsidP="005C5760">
      <w:pPr>
        <w:spacing w:after="0" w:line="240" w:lineRule="auto"/>
        <w:rPr>
          <w:rFonts w:cstheme="minorHAnsi"/>
        </w:rPr>
      </w:pPr>
    </w:p>
    <w:p w:rsidR="004F4A6B" w:rsidRPr="001C661C" w:rsidRDefault="00C07387" w:rsidP="000A58BE">
      <w:pPr>
        <w:spacing w:after="0" w:line="240" w:lineRule="auto"/>
        <w:rPr>
          <w:rFonts w:cstheme="minorHAnsi"/>
          <w:b/>
        </w:rPr>
      </w:pPr>
      <w:r w:rsidRPr="001C661C">
        <w:rPr>
          <w:rFonts w:cstheme="minorHAnsi"/>
          <w:b/>
        </w:rPr>
        <w:t>Learning and teaching methods</w:t>
      </w:r>
    </w:p>
    <w:p w:rsidR="00276BDC" w:rsidRDefault="00276BDC" w:rsidP="00276BDC">
      <w:pPr>
        <w:widowControl w:val="0"/>
        <w:autoSpaceDE w:val="0"/>
        <w:autoSpaceDN w:val="0"/>
        <w:adjustRightInd w:val="0"/>
        <w:spacing w:after="0" w:line="240" w:lineRule="auto"/>
      </w:pPr>
      <w:r>
        <w:t>The module will be delivered through a lecture and seminar series.</w:t>
      </w:r>
    </w:p>
    <w:p w:rsidR="00276BDC" w:rsidRDefault="00276BDC" w:rsidP="00276BDC">
      <w:pPr>
        <w:widowControl w:val="0"/>
        <w:autoSpaceDE w:val="0"/>
        <w:autoSpaceDN w:val="0"/>
        <w:adjustRightInd w:val="0"/>
        <w:spacing w:after="0" w:line="240" w:lineRule="auto"/>
      </w:pPr>
    </w:p>
    <w:p w:rsidR="00276BDC" w:rsidRDefault="00276BDC" w:rsidP="00276BDC">
      <w:pPr>
        <w:widowControl w:val="0"/>
        <w:autoSpaceDE w:val="0"/>
        <w:autoSpaceDN w:val="0"/>
        <w:adjustRightInd w:val="0"/>
        <w:spacing w:after="0" w:line="240" w:lineRule="auto"/>
      </w:pPr>
      <w:r w:rsidRPr="009D07EB">
        <w:rPr>
          <w:b/>
        </w:rPr>
        <w:t>Lecture</w:t>
      </w:r>
      <w:r>
        <w:t xml:space="preserve"> sessions will deliver key information as outlined in the indicative content and cover key concepts such as globalisation, strategic analysis and the influence of technology.</w:t>
      </w:r>
    </w:p>
    <w:p w:rsidR="00276BDC" w:rsidRPr="00AA5334" w:rsidRDefault="00276BDC" w:rsidP="00276BDC">
      <w:pPr>
        <w:widowControl w:val="0"/>
        <w:autoSpaceDE w:val="0"/>
        <w:autoSpaceDN w:val="0"/>
        <w:adjustRightInd w:val="0"/>
        <w:spacing w:after="0" w:line="240" w:lineRule="auto"/>
      </w:pPr>
    </w:p>
    <w:p w:rsidR="00276BDC" w:rsidRDefault="00276BDC" w:rsidP="00276BDC">
      <w:pPr>
        <w:spacing w:after="0" w:line="240" w:lineRule="auto"/>
      </w:pPr>
      <w:r w:rsidRPr="009D07EB">
        <w:rPr>
          <w:b/>
        </w:rPr>
        <w:t>Seminar</w:t>
      </w:r>
      <w:r w:rsidRPr="00AA5334">
        <w:t xml:space="preserve"> </w:t>
      </w:r>
      <w:r>
        <w:t xml:space="preserve">sessions will be used for </w:t>
      </w:r>
      <w:r w:rsidRPr="00AA5334">
        <w:t>group-based discussions using material cover</w:t>
      </w:r>
      <w:r>
        <w:t xml:space="preserve">ed in the lectures. Students will be encouraged </w:t>
      </w:r>
      <w:r w:rsidRPr="00AA5334">
        <w:t>to apply pr</w:t>
      </w:r>
      <w:r>
        <w:t>inciples linked to case studies by examining ideas along with their strengths and weakness.</w:t>
      </w:r>
    </w:p>
    <w:p w:rsidR="006637A4" w:rsidRDefault="006637A4" w:rsidP="00400DCB">
      <w:pPr>
        <w:spacing w:after="0" w:line="240" w:lineRule="auto"/>
      </w:pPr>
    </w:p>
    <w:p w:rsidR="008A2ACE" w:rsidRPr="001C661C" w:rsidRDefault="00425F09" w:rsidP="0087463F">
      <w:pPr>
        <w:spacing w:after="0" w:line="240" w:lineRule="auto"/>
        <w:jc w:val="both"/>
        <w:rPr>
          <w:rFonts w:cstheme="minorHAnsi"/>
          <w:b/>
        </w:rPr>
      </w:pPr>
      <w:r w:rsidRPr="001C661C">
        <w:rPr>
          <w:rFonts w:cstheme="minorHAnsi"/>
          <w:b/>
        </w:rPr>
        <w:t>Contact hours and directed study (over semester</w:t>
      </w:r>
      <w:r w:rsidR="006943D9" w:rsidRPr="001C661C">
        <w:rPr>
          <w:rFonts w:cstheme="minorHAnsi"/>
          <w:b/>
        </w:rPr>
        <w:t>s</w:t>
      </w:r>
      <w:r w:rsidRPr="001C661C">
        <w:rPr>
          <w:rFonts w:cstheme="minorHAnsi"/>
          <w:b/>
        </w:rPr>
        <w:t xml:space="preserve"> 1 and 2)</w:t>
      </w:r>
    </w:p>
    <w:tbl>
      <w:tblPr>
        <w:tblStyle w:val="TableGrid"/>
        <w:tblW w:w="0" w:type="auto"/>
        <w:tblLook w:val="04A0" w:firstRow="1" w:lastRow="0" w:firstColumn="1" w:lastColumn="0" w:noHBand="0" w:noVBand="1"/>
      </w:tblPr>
      <w:tblGrid>
        <w:gridCol w:w="7864"/>
        <w:gridCol w:w="2592"/>
      </w:tblGrid>
      <w:tr w:rsidR="00366821" w:rsidRPr="001C661C" w:rsidTr="008A2ACE">
        <w:tc>
          <w:tcPr>
            <w:tcW w:w="8046" w:type="dxa"/>
            <w:shd w:val="clear" w:color="auto" w:fill="D9D9D9" w:themeFill="background1" w:themeFillShade="D9"/>
          </w:tcPr>
          <w:p w:rsidR="00366821" w:rsidRPr="001C661C" w:rsidRDefault="00366821" w:rsidP="0087463F">
            <w:pPr>
              <w:jc w:val="both"/>
              <w:rPr>
                <w:rFonts w:cstheme="minorHAnsi"/>
                <w:b/>
              </w:rPr>
            </w:pPr>
            <w:r w:rsidRPr="001C661C">
              <w:rPr>
                <w:rFonts w:cstheme="minorHAnsi"/>
                <w:b/>
              </w:rPr>
              <w:t>Delivery type</w:t>
            </w:r>
          </w:p>
        </w:tc>
        <w:tc>
          <w:tcPr>
            <w:tcW w:w="2636" w:type="dxa"/>
            <w:shd w:val="clear" w:color="auto" w:fill="D9D9D9" w:themeFill="background1" w:themeFillShade="D9"/>
          </w:tcPr>
          <w:p w:rsidR="00366821" w:rsidRPr="001C661C" w:rsidRDefault="00366821" w:rsidP="0087463F">
            <w:pPr>
              <w:jc w:val="both"/>
              <w:rPr>
                <w:rFonts w:cstheme="minorHAnsi"/>
                <w:b/>
              </w:rPr>
            </w:pPr>
            <w:r w:rsidRPr="001C661C">
              <w:rPr>
                <w:rFonts w:cstheme="minorHAnsi"/>
                <w:b/>
              </w:rPr>
              <w:t>Student hours</w:t>
            </w:r>
          </w:p>
        </w:tc>
      </w:tr>
      <w:tr w:rsidR="00366821" w:rsidRPr="001C661C" w:rsidTr="008A2ACE">
        <w:tc>
          <w:tcPr>
            <w:tcW w:w="8046" w:type="dxa"/>
          </w:tcPr>
          <w:p w:rsidR="00366821" w:rsidRPr="001C661C" w:rsidRDefault="000A5D80" w:rsidP="008A2ACE">
            <w:pPr>
              <w:jc w:val="both"/>
              <w:rPr>
                <w:rFonts w:cstheme="minorHAnsi"/>
                <w:b/>
              </w:rPr>
            </w:pPr>
            <w:r w:rsidRPr="001C661C">
              <w:rPr>
                <w:rFonts w:cstheme="minorHAnsi"/>
              </w:rPr>
              <w:t>Indicative</w:t>
            </w:r>
            <w:r w:rsidR="008A2ACE" w:rsidRPr="001C661C">
              <w:rPr>
                <w:rFonts w:cstheme="minorHAnsi"/>
              </w:rPr>
              <w:t xml:space="preserve"> hours for l</w:t>
            </w:r>
            <w:r w:rsidR="00366821" w:rsidRPr="001C661C">
              <w:rPr>
                <w:rFonts w:cstheme="minorHAnsi"/>
              </w:rPr>
              <w:t>earning and teaching activities</w:t>
            </w:r>
          </w:p>
        </w:tc>
        <w:tc>
          <w:tcPr>
            <w:tcW w:w="2636" w:type="dxa"/>
          </w:tcPr>
          <w:p w:rsidR="00366821" w:rsidRPr="001C661C" w:rsidRDefault="007769F7" w:rsidP="0087463F">
            <w:pPr>
              <w:jc w:val="both"/>
              <w:rPr>
                <w:rFonts w:cstheme="minorHAnsi"/>
                <w:b/>
              </w:rPr>
            </w:pPr>
            <w:r>
              <w:rPr>
                <w:rFonts w:cstheme="minorHAnsi"/>
              </w:rPr>
              <w:t>30</w:t>
            </w:r>
            <w:r w:rsidR="00366821" w:rsidRPr="001C661C">
              <w:rPr>
                <w:rFonts w:cstheme="minorHAnsi"/>
              </w:rPr>
              <w:t xml:space="preserve"> hours</w:t>
            </w:r>
          </w:p>
        </w:tc>
      </w:tr>
      <w:tr w:rsidR="00366821" w:rsidRPr="001C661C" w:rsidTr="008A2ACE">
        <w:tc>
          <w:tcPr>
            <w:tcW w:w="8046" w:type="dxa"/>
          </w:tcPr>
          <w:p w:rsidR="00366821" w:rsidRPr="001C661C" w:rsidRDefault="000A5D80" w:rsidP="0087463F">
            <w:pPr>
              <w:jc w:val="both"/>
              <w:rPr>
                <w:rFonts w:cstheme="minorHAnsi"/>
                <w:b/>
              </w:rPr>
            </w:pPr>
            <w:r w:rsidRPr="001C661C">
              <w:rPr>
                <w:rFonts w:cstheme="minorHAnsi"/>
              </w:rPr>
              <w:t>Indicative</w:t>
            </w:r>
            <w:r w:rsidR="008A2ACE" w:rsidRPr="001C661C">
              <w:rPr>
                <w:rFonts w:cstheme="minorHAnsi"/>
              </w:rPr>
              <w:t xml:space="preserve"> hours of d</w:t>
            </w:r>
            <w:r w:rsidR="00366821" w:rsidRPr="001C661C">
              <w:rPr>
                <w:rFonts w:cstheme="minorHAnsi"/>
              </w:rPr>
              <w:t>irected study</w:t>
            </w:r>
          </w:p>
        </w:tc>
        <w:tc>
          <w:tcPr>
            <w:tcW w:w="2636" w:type="dxa"/>
          </w:tcPr>
          <w:p w:rsidR="00366821" w:rsidRPr="001C661C" w:rsidRDefault="006D0B63" w:rsidP="0087463F">
            <w:pPr>
              <w:jc w:val="both"/>
              <w:rPr>
                <w:rFonts w:cstheme="minorHAnsi"/>
                <w:b/>
              </w:rPr>
            </w:pPr>
            <w:r>
              <w:rPr>
                <w:rFonts w:cstheme="minorHAnsi"/>
              </w:rPr>
              <w:t>1</w:t>
            </w:r>
            <w:r w:rsidR="007769F7">
              <w:rPr>
                <w:rFonts w:cstheme="minorHAnsi"/>
              </w:rPr>
              <w:t>7</w:t>
            </w:r>
            <w:r w:rsidR="00EE2A50">
              <w:rPr>
                <w:rFonts w:cstheme="minorHAnsi"/>
              </w:rPr>
              <w:t>0</w:t>
            </w:r>
            <w:r w:rsidR="00366821" w:rsidRPr="001C661C">
              <w:rPr>
                <w:rFonts w:cstheme="minorHAnsi"/>
              </w:rPr>
              <w:t xml:space="preserve"> hours</w:t>
            </w:r>
          </w:p>
        </w:tc>
      </w:tr>
      <w:tr w:rsidR="00366821" w:rsidRPr="001C661C" w:rsidTr="008A2ACE">
        <w:tc>
          <w:tcPr>
            <w:tcW w:w="8046" w:type="dxa"/>
          </w:tcPr>
          <w:p w:rsidR="00366821" w:rsidRPr="001C661C" w:rsidRDefault="00366821" w:rsidP="0087463F">
            <w:pPr>
              <w:jc w:val="both"/>
              <w:rPr>
                <w:rFonts w:cstheme="minorHAnsi"/>
                <w:b/>
              </w:rPr>
            </w:pPr>
            <w:r w:rsidRPr="001C661C">
              <w:rPr>
                <w:rFonts w:cstheme="minorHAnsi"/>
              </w:rPr>
              <w:t>Total hours (100hrs per 10 credits)</w:t>
            </w:r>
          </w:p>
        </w:tc>
        <w:tc>
          <w:tcPr>
            <w:tcW w:w="2636" w:type="dxa"/>
          </w:tcPr>
          <w:p w:rsidR="00366821" w:rsidRPr="001C661C" w:rsidRDefault="006D0B63" w:rsidP="0087463F">
            <w:pPr>
              <w:jc w:val="both"/>
              <w:rPr>
                <w:rFonts w:cstheme="minorHAnsi"/>
                <w:b/>
              </w:rPr>
            </w:pPr>
            <w:r>
              <w:rPr>
                <w:rFonts w:cstheme="minorHAnsi"/>
              </w:rPr>
              <w:t>2</w:t>
            </w:r>
            <w:r w:rsidR="000A58BE">
              <w:rPr>
                <w:rFonts w:cstheme="minorHAnsi"/>
              </w:rPr>
              <w:t>00</w:t>
            </w:r>
            <w:r w:rsidR="00366821" w:rsidRPr="001C661C">
              <w:rPr>
                <w:rFonts w:cstheme="minorHAnsi"/>
              </w:rPr>
              <w:t xml:space="preserve"> hours</w:t>
            </w:r>
          </w:p>
        </w:tc>
      </w:tr>
    </w:tbl>
    <w:p w:rsidR="006D0B63" w:rsidRDefault="006D0B63" w:rsidP="00A269B4">
      <w:pPr>
        <w:spacing w:after="0" w:line="240" w:lineRule="auto"/>
        <w:rPr>
          <w:rFonts w:cstheme="minorHAnsi"/>
          <w:b/>
        </w:rPr>
      </w:pPr>
    </w:p>
    <w:p w:rsidR="007F1B4A" w:rsidRPr="001C661C" w:rsidRDefault="004A247D" w:rsidP="00A269B4">
      <w:pPr>
        <w:spacing w:after="0" w:line="240" w:lineRule="auto"/>
        <w:rPr>
          <w:rFonts w:cstheme="minorHAnsi"/>
          <w:b/>
        </w:rPr>
      </w:pPr>
      <w:r w:rsidRPr="001C661C">
        <w:rPr>
          <w:rFonts w:cstheme="minorHAnsi"/>
          <w:b/>
        </w:rPr>
        <w:t>Opportunities for formative feedback</w:t>
      </w:r>
    </w:p>
    <w:p w:rsidR="00276BDC" w:rsidRDefault="00276BDC" w:rsidP="00276BDC">
      <w:pPr>
        <w:spacing w:after="0" w:line="240" w:lineRule="auto"/>
      </w:pPr>
      <w:r>
        <w:t>Students will receive formative feedback through the seminar series.</w:t>
      </w:r>
    </w:p>
    <w:p w:rsidR="00937364" w:rsidRPr="004A61AA" w:rsidRDefault="00937364" w:rsidP="00937364">
      <w:pPr>
        <w:spacing w:after="0"/>
      </w:pPr>
    </w:p>
    <w:p w:rsidR="008A2ACE" w:rsidRPr="001C661C" w:rsidRDefault="00436D1C" w:rsidP="0087463F">
      <w:pPr>
        <w:spacing w:after="0" w:line="240" w:lineRule="auto"/>
        <w:jc w:val="both"/>
        <w:rPr>
          <w:rFonts w:cstheme="minorHAnsi"/>
          <w:b/>
        </w:rPr>
      </w:pPr>
      <w:r w:rsidRPr="001C661C">
        <w:rPr>
          <w:rFonts w:cstheme="minorHAnsi"/>
          <w:b/>
        </w:rPr>
        <w:t>Assessment</w:t>
      </w:r>
      <w:r w:rsidR="00D40518">
        <w:rPr>
          <w:rFonts w:cstheme="minorHAnsi"/>
          <w:b/>
        </w:rPr>
        <w:t xml:space="preserve"> Method</w:t>
      </w:r>
    </w:p>
    <w:tbl>
      <w:tblPr>
        <w:tblStyle w:val="TableGrid"/>
        <w:tblW w:w="0" w:type="auto"/>
        <w:tblLook w:val="04A0" w:firstRow="1" w:lastRow="0" w:firstColumn="1" w:lastColumn="0" w:noHBand="0" w:noVBand="1"/>
      </w:tblPr>
      <w:tblGrid>
        <w:gridCol w:w="2997"/>
        <w:gridCol w:w="2570"/>
        <w:gridCol w:w="2375"/>
        <w:gridCol w:w="2514"/>
      </w:tblGrid>
      <w:tr w:rsidR="00366821" w:rsidRPr="001C661C" w:rsidTr="000A58BE">
        <w:tc>
          <w:tcPr>
            <w:tcW w:w="2997" w:type="dxa"/>
            <w:shd w:val="clear" w:color="auto" w:fill="D9D9D9" w:themeFill="background1" w:themeFillShade="D9"/>
          </w:tcPr>
          <w:p w:rsidR="00366821" w:rsidRPr="001C661C" w:rsidRDefault="00366821" w:rsidP="0087463F">
            <w:pPr>
              <w:jc w:val="center"/>
              <w:rPr>
                <w:rFonts w:cstheme="minorHAnsi"/>
                <w:b/>
              </w:rPr>
            </w:pPr>
            <w:r w:rsidRPr="001C661C">
              <w:rPr>
                <w:rFonts w:cstheme="minorHAnsi"/>
                <w:b/>
              </w:rPr>
              <w:t>Description of assessment</w:t>
            </w:r>
          </w:p>
        </w:tc>
        <w:tc>
          <w:tcPr>
            <w:tcW w:w="2570" w:type="dxa"/>
            <w:shd w:val="clear" w:color="auto" w:fill="D9D9D9" w:themeFill="background1" w:themeFillShade="D9"/>
          </w:tcPr>
          <w:p w:rsidR="00366821" w:rsidRPr="001C661C" w:rsidRDefault="00366821" w:rsidP="0087463F">
            <w:pPr>
              <w:jc w:val="center"/>
              <w:rPr>
                <w:rFonts w:cstheme="minorHAnsi"/>
                <w:b/>
              </w:rPr>
            </w:pPr>
            <w:r w:rsidRPr="001C661C">
              <w:rPr>
                <w:rFonts w:cstheme="minorHAnsi"/>
                <w:b/>
              </w:rPr>
              <w:t>Length/Duration</w:t>
            </w:r>
          </w:p>
        </w:tc>
        <w:tc>
          <w:tcPr>
            <w:tcW w:w="2375" w:type="dxa"/>
            <w:shd w:val="clear" w:color="auto" w:fill="D9D9D9" w:themeFill="background1" w:themeFillShade="D9"/>
          </w:tcPr>
          <w:p w:rsidR="00366821" w:rsidRPr="001C661C" w:rsidRDefault="000A5D80" w:rsidP="0087463F">
            <w:pPr>
              <w:jc w:val="center"/>
              <w:rPr>
                <w:rFonts w:cstheme="minorHAnsi"/>
                <w:b/>
              </w:rPr>
            </w:pPr>
            <w:r w:rsidRPr="001C661C">
              <w:rPr>
                <w:rFonts w:cstheme="minorHAnsi"/>
                <w:b/>
              </w:rPr>
              <w:t>Weighting</w:t>
            </w:r>
          </w:p>
        </w:tc>
        <w:tc>
          <w:tcPr>
            <w:tcW w:w="2514" w:type="dxa"/>
            <w:shd w:val="clear" w:color="auto" w:fill="D9D9D9" w:themeFill="background1" w:themeFillShade="D9"/>
          </w:tcPr>
          <w:p w:rsidR="00366821" w:rsidRPr="001C661C" w:rsidRDefault="00B53773" w:rsidP="0087463F">
            <w:pPr>
              <w:jc w:val="center"/>
              <w:rPr>
                <w:rFonts w:cstheme="minorHAnsi"/>
                <w:b/>
              </w:rPr>
            </w:pPr>
            <w:r>
              <w:rPr>
                <w:rFonts w:cstheme="minorHAnsi"/>
                <w:b/>
              </w:rPr>
              <w:t>Module LO</w:t>
            </w:r>
            <w:r w:rsidR="000A5D80" w:rsidRPr="001C661C">
              <w:rPr>
                <w:rFonts w:cstheme="minorHAnsi"/>
                <w:b/>
              </w:rPr>
              <w:t>s addressed</w:t>
            </w:r>
          </w:p>
        </w:tc>
      </w:tr>
      <w:tr w:rsidR="00713854" w:rsidRPr="001C661C" w:rsidTr="00973F76">
        <w:tc>
          <w:tcPr>
            <w:tcW w:w="2997" w:type="dxa"/>
            <w:vAlign w:val="center"/>
          </w:tcPr>
          <w:p w:rsidR="00713854" w:rsidRDefault="00276BDC" w:rsidP="006637A4">
            <w:pPr>
              <w:pStyle w:val="NoSpacing"/>
            </w:pPr>
            <w:r>
              <w:t>Essay</w:t>
            </w:r>
          </w:p>
        </w:tc>
        <w:tc>
          <w:tcPr>
            <w:tcW w:w="2570" w:type="dxa"/>
            <w:vAlign w:val="center"/>
          </w:tcPr>
          <w:p w:rsidR="00713854" w:rsidRPr="001C661C" w:rsidRDefault="00276BDC" w:rsidP="00CD21A3">
            <w:pPr>
              <w:jc w:val="center"/>
              <w:rPr>
                <w:rFonts w:cstheme="minorHAnsi"/>
              </w:rPr>
            </w:pPr>
            <w:r>
              <w:rPr>
                <w:rFonts w:cstheme="minorHAnsi"/>
              </w:rPr>
              <w:t>2000 words</w:t>
            </w:r>
          </w:p>
        </w:tc>
        <w:tc>
          <w:tcPr>
            <w:tcW w:w="2375" w:type="dxa"/>
            <w:vAlign w:val="center"/>
          </w:tcPr>
          <w:p w:rsidR="00713854" w:rsidRPr="001C661C" w:rsidRDefault="00276BDC" w:rsidP="00CB0A08">
            <w:pPr>
              <w:jc w:val="center"/>
              <w:rPr>
                <w:rFonts w:cstheme="minorHAnsi"/>
              </w:rPr>
            </w:pPr>
            <w:r>
              <w:rPr>
                <w:rFonts w:cstheme="minorHAnsi"/>
              </w:rPr>
              <w:t>50%</w:t>
            </w:r>
          </w:p>
        </w:tc>
        <w:tc>
          <w:tcPr>
            <w:tcW w:w="2514" w:type="dxa"/>
            <w:vAlign w:val="center"/>
          </w:tcPr>
          <w:p w:rsidR="00713854" w:rsidRPr="001C661C" w:rsidRDefault="00276BDC" w:rsidP="00400DCB">
            <w:pPr>
              <w:jc w:val="center"/>
              <w:rPr>
                <w:rFonts w:cstheme="minorHAnsi"/>
              </w:rPr>
            </w:pPr>
            <w:r>
              <w:rPr>
                <w:rFonts w:cstheme="minorHAnsi"/>
              </w:rPr>
              <w:t>1, 3</w:t>
            </w:r>
          </w:p>
        </w:tc>
      </w:tr>
      <w:tr w:rsidR="00276BDC" w:rsidRPr="001C661C" w:rsidTr="00973F76">
        <w:tc>
          <w:tcPr>
            <w:tcW w:w="2997" w:type="dxa"/>
            <w:vAlign w:val="center"/>
          </w:tcPr>
          <w:p w:rsidR="00276BDC" w:rsidRDefault="00276BDC" w:rsidP="006637A4">
            <w:pPr>
              <w:pStyle w:val="NoSpacing"/>
            </w:pPr>
            <w:r>
              <w:t>Research-based case study</w:t>
            </w:r>
          </w:p>
        </w:tc>
        <w:tc>
          <w:tcPr>
            <w:tcW w:w="2570" w:type="dxa"/>
            <w:vAlign w:val="center"/>
          </w:tcPr>
          <w:p w:rsidR="00276BDC" w:rsidRDefault="00276BDC" w:rsidP="00CD21A3">
            <w:pPr>
              <w:jc w:val="center"/>
              <w:rPr>
                <w:rFonts w:cstheme="minorHAnsi"/>
              </w:rPr>
            </w:pPr>
            <w:r>
              <w:rPr>
                <w:rFonts w:cstheme="minorHAnsi"/>
              </w:rPr>
              <w:t>2000 words</w:t>
            </w:r>
          </w:p>
        </w:tc>
        <w:tc>
          <w:tcPr>
            <w:tcW w:w="2375" w:type="dxa"/>
            <w:vAlign w:val="center"/>
          </w:tcPr>
          <w:p w:rsidR="00276BDC" w:rsidRDefault="00276BDC" w:rsidP="00CB0A08">
            <w:pPr>
              <w:jc w:val="center"/>
              <w:rPr>
                <w:rFonts w:cstheme="minorHAnsi"/>
              </w:rPr>
            </w:pPr>
            <w:r>
              <w:rPr>
                <w:rFonts w:cstheme="minorHAnsi"/>
              </w:rPr>
              <w:t>50%</w:t>
            </w:r>
          </w:p>
        </w:tc>
        <w:tc>
          <w:tcPr>
            <w:tcW w:w="2514" w:type="dxa"/>
            <w:vAlign w:val="center"/>
          </w:tcPr>
          <w:p w:rsidR="00276BDC" w:rsidRDefault="00276BDC" w:rsidP="00400DCB">
            <w:pPr>
              <w:jc w:val="center"/>
              <w:rPr>
                <w:rFonts w:cstheme="minorHAnsi"/>
              </w:rPr>
            </w:pPr>
            <w:r>
              <w:rPr>
                <w:rFonts w:cstheme="minorHAnsi"/>
              </w:rPr>
              <w:t>2, 4</w:t>
            </w:r>
          </w:p>
        </w:tc>
      </w:tr>
    </w:tbl>
    <w:p w:rsidR="00F53AC7" w:rsidRPr="001C661C" w:rsidRDefault="00F53AC7" w:rsidP="007F1B4A">
      <w:pPr>
        <w:spacing w:after="0" w:line="240" w:lineRule="auto"/>
        <w:jc w:val="both"/>
        <w:rPr>
          <w:rFonts w:cstheme="minorHAnsi"/>
        </w:rPr>
      </w:pPr>
    </w:p>
    <w:p w:rsidR="000A5D80" w:rsidRPr="001C661C" w:rsidRDefault="000A5D80" w:rsidP="000A5D80">
      <w:pPr>
        <w:spacing w:after="0" w:line="240" w:lineRule="auto"/>
        <w:jc w:val="both"/>
        <w:rPr>
          <w:rFonts w:cstheme="minorHAnsi"/>
          <w:b/>
        </w:rPr>
      </w:pPr>
      <w:r w:rsidRPr="001C661C">
        <w:rPr>
          <w:rFonts w:cstheme="minorHAnsi"/>
          <w:b/>
        </w:rPr>
        <w:t>Re-Assessment</w:t>
      </w:r>
      <w:r w:rsidR="00D40518">
        <w:rPr>
          <w:rFonts w:cstheme="minorHAnsi"/>
          <w:b/>
        </w:rPr>
        <w:t xml:space="preserve"> Method</w:t>
      </w:r>
    </w:p>
    <w:tbl>
      <w:tblPr>
        <w:tblStyle w:val="TableGrid"/>
        <w:tblW w:w="0" w:type="auto"/>
        <w:tblLook w:val="04A0" w:firstRow="1" w:lastRow="0" w:firstColumn="1" w:lastColumn="0" w:noHBand="0" w:noVBand="1"/>
      </w:tblPr>
      <w:tblGrid>
        <w:gridCol w:w="2997"/>
        <w:gridCol w:w="2570"/>
        <w:gridCol w:w="2375"/>
        <w:gridCol w:w="2514"/>
      </w:tblGrid>
      <w:tr w:rsidR="000A5D80" w:rsidRPr="001C661C" w:rsidTr="000A58BE">
        <w:tc>
          <w:tcPr>
            <w:tcW w:w="2997" w:type="dxa"/>
            <w:shd w:val="clear" w:color="auto" w:fill="D9D9D9" w:themeFill="background1" w:themeFillShade="D9"/>
          </w:tcPr>
          <w:p w:rsidR="000A5D80" w:rsidRPr="001C661C" w:rsidRDefault="000A5D80" w:rsidP="000A5D80">
            <w:pPr>
              <w:jc w:val="center"/>
              <w:rPr>
                <w:rFonts w:cstheme="minorHAnsi"/>
                <w:b/>
              </w:rPr>
            </w:pPr>
            <w:r w:rsidRPr="001C661C">
              <w:rPr>
                <w:rFonts w:cstheme="minorHAnsi"/>
                <w:b/>
              </w:rPr>
              <w:t>Description of assessment</w:t>
            </w:r>
          </w:p>
        </w:tc>
        <w:tc>
          <w:tcPr>
            <w:tcW w:w="2570" w:type="dxa"/>
            <w:shd w:val="clear" w:color="auto" w:fill="D9D9D9" w:themeFill="background1" w:themeFillShade="D9"/>
          </w:tcPr>
          <w:p w:rsidR="000A5D80" w:rsidRPr="001C661C" w:rsidRDefault="000A5D80" w:rsidP="000A5D80">
            <w:pPr>
              <w:jc w:val="center"/>
              <w:rPr>
                <w:rFonts w:cstheme="minorHAnsi"/>
                <w:b/>
              </w:rPr>
            </w:pPr>
            <w:r w:rsidRPr="001C661C">
              <w:rPr>
                <w:rFonts w:cstheme="minorHAnsi"/>
                <w:b/>
              </w:rPr>
              <w:t>Length/Duration</w:t>
            </w:r>
          </w:p>
        </w:tc>
        <w:tc>
          <w:tcPr>
            <w:tcW w:w="2375" w:type="dxa"/>
            <w:shd w:val="clear" w:color="auto" w:fill="D9D9D9" w:themeFill="background1" w:themeFillShade="D9"/>
          </w:tcPr>
          <w:p w:rsidR="000A5D80" w:rsidRPr="001C661C" w:rsidRDefault="000A5D80" w:rsidP="000A5D80">
            <w:pPr>
              <w:jc w:val="center"/>
              <w:rPr>
                <w:rFonts w:cstheme="minorHAnsi"/>
                <w:b/>
              </w:rPr>
            </w:pPr>
            <w:r w:rsidRPr="001C661C">
              <w:rPr>
                <w:rFonts w:cstheme="minorHAnsi"/>
                <w:b/>
              </w:rPr>
              <w:t>Weighting</w:t>
            </w:r>
          </w:p>
        </w:tc>
        <w:tc>
          <w:tcPr>
            <w:tcW w:w="2514" w:type="dxa"/>
            <w:shd w:val="clear" w:color="auto" w:fill="D9D9D9" w:themeFill="background1" w:themeFillShade="D9"/>
          </w:tcPr>
          <w:p w:rsidR="000A5D80" w:rsidRPr="001C661C" w:rsidRDefault="00B53773" w:rsidP="000A5D80">
            <w:pPr>
              <w:jc w:val="center"/>
              <w:rPr>
                <w:rFonts w:cstheme="minorHAnsi"/>
                <w:b/>
              </w:rPr>
            </w:pPr>
            <w:r>
              <w:rPr>
                <w:rFonts w:cstheme="minorHAnsi"/>
                <w:b/>
              </w:rPr>
              <w:t>Module LO</w:t>
            </w:r>
            <w:r w:rsidR="000A5D80" w:rsidRPr="001C661C">
              <w:rPr>
                <w:rFonts w:cstheme="minorHAnsi"/>
                <w:b/>
              </w:rPr>
              <w:t>s addressed</w:t>
            </w:r>
          </w:p>
        </w:tc>
      </w:tr>
      <w:tr w:rsidR="00276BDC" w:rsidRPr="001C661C" w:rsidTr="00973F76">
        <w:tc>
          <w:tcPr>
            <w:tcW w:w="2997" w:type="dxa"/>
            <w:vAlign w:val="center"/>
          </w:tcPr>
          <w:p w:rsidR="00276BDC" w:rsidRDefault="00276BDC" w:rsidP="00276BDC">
            <w:pPr>
              <w:pStyle w:val="NoSpacing"/>
            </w:pPr>
            <w:r>
              <w:t>Essay</w:t>
            </w:r>
          </w:p>
        </w:tc>
        <w:tc>
          <w:tcPr>
            <w:tcW w:w="2570" w:type="dxa"/>
            <w:vAlign w:val="center"/>
          </w:tcPr>
          <w:p w:rsidR="00276BDC" w:rsidRPr="001C661C" w:rsidRDefault="00276BDC" w:rsidP="00276BDC">
            <w:pPr>
              <w:jc w:val="center"/>
              <w:rPr>
                <w:rFonts w:cstheme="minorHAnsi"/>
              </w:rPr>
            </w:pPr>
            <w:r>
              <w:rPr>
                <w:rFonts w:cstheme="minorHAnsi"/>
              </w:rPr>
              <w:t>2000 words</w:t>
            </w:r>
          </w:p>
        </w:tc>
        <w:tc>
          <w:tcPr>
            <w:tcW w:w="2375" w:type="dxa"/>
            <w:vAlign w:val="center"/>
          </w:tcPr>
          <w:p w:rsidR="00276BDC" w:rsidRPr="001C661C" w:rsidRDefault="00276BDC" w:rsidP="00276BDC">
            <w:pPr>
              <w:jc w:val="center"/>
              <w:rPr>
                <w:rFonts w:cstheme="minorHAnsi"/>
              </w:rPr>
            </w:pPr>
            <w:r>
              <w:rPr>
                <w:rFonts w:cstheme="minorHAnsi"/>
              </w:rPr>
              <w:t>50%</w:t>
            </w:r>
          </w:p>
        </w:tc>
        <w:tc>
          <w:tcPr>
            <w:tcW w:w="2514" w:type="dxa"/>
            <w:vAlign w:val="center"/>
          </w:tcPr>
          <w:p w:rsidR="00276BDC" w:rsidRPr="001C661C" w:rsidRDefault="00276BDC" w:rsidP="00276BDC">
            <w:pPr>
              <w:jc w:val="center"/>
              <w:rPr>
                <w:rFonts w:cstheme="minorHAnsi"/>
              </w:rPr>
            </w:pPr>
            <w:r>
              <w:rPr>
                <w:rFonts w:cstheme="minorHAnsi"/>
              </w:rPr>
              <w:t>1, 3</w:t>
            </w:r>
          </w:p>
        </w:tc>
      </w:tr>
      <w:tr w:rsidR="00276BDC" w:rsidRPr="001C661C" w:rsidTr="00973F76">
        <w:tc>
          <w:tcPr>
            <w:tcW w:w="2997" w:type="dxa"/>
            <w:vAlign w:val="center"/>
          </w:tcPr>
          <w:p w:rsidR="00276BDC" w:rsidRDefault="00276BDC" w:rsidP="00276BDC">
            <w:pPr>
              <w:pStyle w:val="NoSpacing"/>
            </w:pPr>
            <w:r>
              <w:t>Research-based case study</w:t>
            </w:r>
          </w:p>
        </w:tc>
        <w:tc>
          <w:tcPr>
            <w:tcW w:w="2570" w:type="dxa"/>
            <w:vAlign w:val="center"/>
          </w:tcPr>
          <w:p w:rsidR="00276BDC" w:rsidRDefault="00276BDC" w:rsidP="00276BDC">
            <w:pPr>
              <w:jc w:val="center"/>
              <w:rPr>
                <w:rFonts w:cstheme="minorHAnsi"/>
              </w:rPr>
            </w:pPr>
            <w:r>
              <w:rPr>
                <w:rFonts w:cstheme="minorHAnsi"/>
              </w:rPr>
              <w:t>2000 words</w:t>
            </w:r>
          </w:p>
        </w:tc>
        <w:tc>
          <w:tcPr>
            <w:tcW w:w="2375" w:type="dxa"/>
            <w:vAlign w:val="center"/>
          </w:tcPr>
          <w:p w:rsidR="00276BDC" w:rsidRDefault="00276BDC" w:rsidP="00276BDC">
            <w:pPr>
              <w:jc w:val="center"/>
              <w:rPr>
                <w:rFonts w:cstheme="minorHAnsi"/>
              </w:rPr>
            </w:pPr>
            <w:r>
              <w:rPr>
                <w:rFonts w:cstheme="minorHAnsi"/>
              </w:rPr>
              <w:t>50%</w:t>
            </w:r>
          </w:p>
        </w:tc>
        <w:tc>
          <w:tcPr>
            <w:tcW w:w="2514" w:type="dxa"/>
            <w:vAlign w:val="center"/>
          </w:tcPr>
          <w:p w:rsidR="00276BDC" w:rsidRDefault="00276BDC" w:rsidP="00276BDC">
            <w:pPr>
              <w:jc w:val="center"/>
              <w:rPr>
                <w:rFonts w:cstheme="minorHAnsi"/>
              </w:rPr>
            </w:pPr>
            <w:r>
              <w:rPr>
                <w:rFonts w:cstheme="minorHAnsi"/>
              </w:rPr>
              <w:t>2, 4</w:t>
            </w:r>
          </w:p>
        </w:tc>
      </w:tr>
    </w:tbl>
    <w:p w:rsidR="00F246DD" w:rsidRPr="00400DCB" w:rsidRDefault="00F246DD" w:rsidP="000A5D80">
      <w:pPr>
        <w:spacing w:after="0" w:line="240" w:lineRule="auto"/>
        <w:jc w:val="both"/>
        <w:rPr>
          <w:rFonts w:cstheme="minorHAnsi"/>
        </w:rPr>
      </w:pPr>
    </w:p>
    <w:p w:rsidR="00F955D7" w:rsidRDefault="00545359" w:rsidP="00EE2A50">
      <w:pPr>
        <w:spacing w:after="0" w:line="240" w:lineRule="auto"/>
        <w:rPr>
          <w:rFonts w:cstheme="minorHAnsi"/>
          <w:b/>
        </w:rPr>
      </w:pPr>
      <w:r>
        <w:rPr>
          <w:rFonts w:cstheme="minorHAnsi"/>
          <w:b/>
        </w:rPr>
        <w:t xml:space="preserve">Indicative </w:t>
      </w:r>
      <w:r w:rsidR="001C661C">
        <w:rPr>
          <w:rFonts w:cstheme="minorHAnsi"/>
          <w:b/>
        </w:rPr>
        <w:t>Reading List</w:t>
      </w:r>
    </w:p>
    <w:p w:rsidR="00AE675A" w:rsidRDefault="00AE675A" w:rsidP="00F955D7">
      <w:pPr>
        <w:spacing w:after="0" w:line="240" w:lineRule="auto"/>
        <w:rPr>
          <w:rFonts w:cstheme="minorHAnsi"/>
          <w:u w:val="single"/>
        </w:rPr>
      </w:pPr>
      <w:r>
        <w:rPr>
          <w:rFonts w:cstheme="minorHAnsi"/>
          <w:u w:val="single"/>
        </w:rPr>
        <w:t>Essential:</w:t>
      </w:r>
    </w:p>
    <w:p w:rsidR="00276BDC" w:rsidRDefault="00276BDC" w:rsidP="00276BDC">
      <w:pPr>
        <w:pStyle w:val="ListParagraph"/>
        <w:numPr>
          <w:ilvl w:val="0"/>
          <w:numId w:val="32"/>
        </w:numPr>
        <w:spacing w:after="0" w:line="240" w:lineRule="auto"/>
      </w:pPr>
      <w:r>
        <w:t xml:space="preserve">Fuchs, </w:t>
      </w:r>
      <w:proofErr w:type="gramStart"/>
      <w:r>
        <w:t>C .(</w:t>
      </w:r>
      <w:proofErr w:type="gramEnd"/>
      <w:r>
        <w:t>2007) Internet and Society: Social Theory in the Information Age: 9. London: Routledge.</w:t>
      </w:r>
    </w:p>
    <w:p w:rsidR="00AE675A" w:rsidRPr="00276BDC" w:rsidRDefault="00276BDC" w:rsidP="00276BDC">
      <w:pPr>
        <w:pStyle w:val="ListParagraph"/>
        <w:numPr>
          <w:ilvl w:val="0"/>
          <w:numId w:val="32"/>
        </w:numPr>
        <w:spacing w:after="0" w:line="240" w:lineRule="auto"/>
        <w:rPr>
          <w:rFonts w:cstheme="minorHAnsi"/>
          <w:u w:val="single"/>
        </w:rPr>
      </w:pPr>
      <w:proofErr w:type="spellStart"/>
      <w:r>
        <w:t>Herstand</w:t>
      </w:r>
      <w:proofErr w:type="spellEnd"/>
      <w:r>
        <w:t xml:space="preserve">, A. (2016) How To Make It in the New Music Business: Practical Tips on Building a Loyal Following and Making a Living as a Musician. London: </w:t>
      </w:r>
      <w:proofErr w:type="spellStart"/>
      <w:r>
        <w:t>Liveright</w:t>
      </w:r>
      <w:proofErr w:type="spellEnd"/>
      <w:r>
        <w:t>.</w:t>
      </w:r>
    </w:p>
    <w:p w:rsidR="00276BDC" w:rsidRPr="00276BDC" w:rsidRDefault="00276BDC" w:rsidP="00276BDC">
      <w:pPr>
        <w:spacing w:after="0" w:line="240" w:lineRule="auto"/>
        <w:rPr>
          <w:rFonts w:cstheme="minorHAnsi"/>
          <w:u w:val="single"/>
        </w:rPr>
      </w:pPr>
    </w:p>
    <w:p w:rsidR="00EE2A50" w:rsidRPr="00EE2A50" w:rsidRDefault="00F246DD" w:rsidP="00F955D7">
      <w:pPr>
        <w:spacing w:after="0" w:line="240" w:lineRule="auto"/>
        <w:rPr>
          <w:rFonts w:cstheme="minorHAnsi"/>
          <w:u w:val="single"/>
        </w:rPr>
      </w:pPr>
      <w:r>
        <w:rPr>
          <w:rFonts w:cstheme="minorHAnsi"/>
          <w:u w:val="single"/>
        </w:rPr>
        <w:t>Recommended</w:t>
      </w:r>
      <w:r w:rsidR="00EE2A50">
        <w:rPr>
          <w:rFonts w:cstheme="minorHAnsi"/>
          <w:u w:val="single"/>
        </w:rPr>
        <w:t>:</w:t>
      </w:r>
    </w:p>
    <w:p w:rsidR="00276BDC" w:rsidRDefault="00276BDC" w:rsidP="00276BDC">
      <w:pPr>
        <w:pStyle w:val="ListParagraph"/>
        <w:numPr>
          <w:ilvl w:val="0"/>
          <w:numId w:val="36"/>
        </w:numPr>
        <w:spacing w:after="0" w:line="240" w:lineRule="auto"/>
      </w:pPr>
      <w:r>
        <w:t>Demers, C. (2007) Organizational Change Theories: A Synthesis. London: Sage.</w:t>
      </w:r>
    </w:p>
    <w:p w:rsidR="00276BDC" w:rsidRDefault="00276BDC" w:rsidP="00276BDC">
      <w:pPr>
        <w:pStyle w:val="ListParagraph"/>
        <w:numPr>
          <w:ilvl w:val="0"/>
          <w:numId w:val="36"/>
        </w:numPr>
        <w:spacing w:after="0" w:line="240" w:lineRule="auto"/>
      </w:pPr>
      <w:r>
        <w:t>Du Gay, P. (1997) Production of Culture/Cultures of Production. London: Sage.</w:t>
      </w:r>
    </w:p>
    <w:p w:rsidR="00276BDC" w:rsidRDefault="00276BDC" w:rsidP="00276BDC">
      <w:pPr>
        <w:pStyle w:val="ListParagraph"/>
        <w:numPr>
          <w:ilvl w:val="0"/>
          <w:numId w:val="36"/>
        </w:numPr>
        <w:spacing w:after="0" w:line="240" w:lineRule="auto"/>
      </w:pPr>
      <w:r>
        <w:t>Grant, R.M. (1999) Contemporary Strategy Analysis, Oxford: Blackwell</w:t>
      </w:r>
    </w:p>
    <w:p w:rsidR="00276BDC" w:rsidRDefault="00276BDC" w:rsidP="00276BDC">
      <w:pPr>
        <w:pStyle w:val="ListParagraph"/>
        <w:numPr>
          <w:ilvl w:val="0"/>
          <w:numId w:val="36"/>
        </w:numPr>
        <w:spacing w:after="0" w:line="240" w:lineRule="auto"/>
      </w:pPr>
      <w:r>
        <w:t>Hempstead: Prentice Hall.</w:t>
      </w:r>
    </w:p>
    <w:p w:rsidR="00276BDC" w:rsidRDefault="00276BDC" w:rsidP="00276BDC">
      <w:pPr>
        <w:pStyle w:val="ListParagraph"/>
        <w:numPr>
          <w:ilvl w:val="0"/>
          <w:numId w:val="36"/>
        </w:numPr>
        <w:spacing w:after="0" w:line="240" w:lineRule="auto"/>
      </w:pPr>
      <w:r w:rsidRPr="00A57BDD">
        <w:t xml:space="preserve">Ha, L S &amp; </w:t>
      </w:r>
      <w:proofErr w:type="spellStart"/>
      <w:r w:rsidRPr="00A57BDD">
        <w:t>Ganahl</w:t>
      </w:r>
      <w:proofErr w:type="spellEnd"/>
      <w:r w:rsidRPr="00A57BDD">
        <w:t>, R (</w:t>
      </w:r>
      <w:proofErr w:type="gramStart"/>
      <w:r w:rsidRPr="00A57BDD">
        <w:t>eds</w:t>
      </w:r>
      <w:proofErr w:type="gramEnd"/>
      <w:r w:rsidRPr="00A57BDD">
        <w:t xml:space="preserve">.). </w:t>
      </w:r>
      <w:r>
        <w:t xml:space="preserve">(2006) Webcasting Worldwide: Business Models of an Emerging Global Medium, </w:t>
      </w:r>
      <w:proofErr w:type="spellStart"/>
      <w:r>
        <w:t>Malwah</w:t>
      </w:r>
      <w:proofErr w:type="spellEnd"/>
      <w:r>
        <w:t>. NJ: Lawrence Erlbaum Associates.</w:t>
      </w:r>
    </w:p>
    <w:p w:rsidR="00276BDC" w:rsidRDefault="00276BDC" w:rsidP="00276BDC">
      <w:pPr>
        <w:pStyle w:val="ListParagraph"/>
        <w:numPr>
          <w:ilvl w:val="0"/>
          <w:numId w:val="36"/>
        </w:numPr>
        <w:spacing w:after="0" w:line="240" w:lineRule="auto"/>
      </w:pPr>
      <w:r>
        <w:lastRenderedPageBreak/>
        <w:t>Hutchison, T, Macy, A and Allen, P. (2006) Record Label Marketing. Oxford: Elsevier.</w:t>
      </w:r>
    </w:p>
    <w:p w:rsidR="00276BDC" w:rsidRDefault="00276BDC" w:rsidP="00276BDC">
      <w:pPr>
        <w:pStyle w:val="ListParagraph"/>
        <w:numPr>
          <w:ilvl w:val="0"/>
          <w:numId w:val="36"/>
        </w:numPr>
        <w:spacing w:after="0" w:line="240" w:lineRule="auto"/>
      </w:pPr>
      <w:proofErr w:type="spellStart"/>
      <w:r>
        <w:t>Jarzabkowski</w:t>
      </w:r>
      <w:proofErr w:type="spellEnd"/>
      <w:r>
        <w:t>, P. (2005) Strategy as Practice: An Activity-Based Approach. London: Sage.</w:t>
      </w:r>
    </w:p>
    <w:p w:rsidR="00276BDC" w:rsidRDefault="00276BDC" w:rsidP="00276BDC">
      <w:pPr>
        <w:pStyle w:val="ListParagraph"/>
        <w:numPr>
          <w:ilvl w:val="0"/>
          <w:numId w:val="36"/>
        </w:numPr>
        <w:spacing w:after="0" w:line="240" w:lineRule="auto"/>
      </w:pPr>
      <w:r>
        <w:t>Jenkins, H. (2007) Convergence Culture. NYU Press: NYC.</w:t>
      </w:r>
    </w:p>
    <w:p w:rsidR="00276BDC" w:rsidRDefault="00276BDC" w:rsidP="00276BDC">
      <w:pPr>
        <w:pStyle w:val="ListParagraph"/>
        <w:numPr>
          <w:ilvl w:val="0"/>
          <w:numId w:val="36"/>
        </w:numPr>
        <w:spacing w:after="0" w:line="240" w:lineRule="auto"/>
      </w:pPr>
      <w:r>
        <w:t>Johnson, G, Scholes, K &amp; Whittington, R. (2008) Exploring Corporate Strategy: Text &amp; Cases. London: Prentice Hall.</w:t>
      </w:r>
    </w:p>
    <w:p w:rsidR="00400DCB" w:rsidRPr="006637A4" w:rsidRDefault="00276BDC" w:rsidP="00276BDC">
      <w:pPr>
        <w:pStyle w:val="ListParagraph"/>
        <w:numPr>
          <w:ilvl w:val="0"/>
          <w:numId w:val="36"/>
        </w:numPr>
        <w:spacing w:after="0" w:line="240" w:lineRule="auto"/>
      </w:pPr>
      <w:proofErr w:type="spellStart"/>
      <w:r>
        <w:t>Kagerman</w:t>
      </w:r>
      <w:proofErr w:type="spellEnd"/>
      <w:r>
        <w:t xml:space="preserve">, H &amp; </w:t>
      </w:r>
      <w:proofErr w:type="spellStart"/>
      <w:r>
        <w:t>Osterle</w:t>
      </w:r>
      <w:proofErr w:type="spellEnd"/>
      <w:r>
        <w:t xml:space="preserve">, H. (2011) IT driven business models: Global Case Studies in Transformation. Wiley. </w:t>
      </w:r>
    </w:p>
    <w:sectPr w:rsidR="00400DCB" w:rsidRPr="006637A4" w:rsidSect="001C661C">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3D9" w:rsidRDefault="006943D9" w:rsidP="006943D9">
      <w:pPr>
        <w:spacing w:after="0" w:line="240" w:lineRule="auto"/>
      </w:pPr>
      <w:r>
        <w:separator/>
      </w:r>
    </w:p>
  </w:endnote>
  <w:endnote w:type="continuationSeparator" w:id="0">
    <w:p w:rsidR="006943D9" w:rsidRDefault="006943D9" w:rsidP="00694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8BE" w:rsidRPr="00053E97" w:rsidRDefault="000A58BE">
    <w:pPr>
      <w:pStyle w:val="Footer"/>
    </w:pPr>
  </w:p>
  <w:p w:rsidR="001C661C" w:rsidRPr="00B20B91" w:rsidRDefault="00A269B4">
    <w:pPr>
      <w:pStyle w:val="Footer"/>
      <w:rPr>
        <w:sz w:val="16"/>
        <w:szCs w:val="16"/>
      </w:rPr>
    </w:pPr>
    <w:r>
      <w:rPr>
        <w:sz w:val="16"/>
        <w:szCs w:val="16"/>
      </w:rPr>
      <w:t>Approved by the University of Hull</w:t>
    </w:r>
    <w:r w:rsidR="00C90D93">
      <w:rPr>
        <w:sz w:val="16"/>
        <w:szCs w:val="16"/>
      </w:rPr>
      <w:t xml:space="preserve"> January</w:t>
    </w:r>
    <w:r w:rsidR="001C661C" w:rsidRPr="00B20B91">
      <w:rPr>
        <w:sz w:val="16"/>
        <w:szCs w:val="16"/>
      </w:rPr>
      <w:t xml:space="preserve"> 2017</w:t>
    </w:r>
    <w:r w:rsidR="001C661C" w:rsidRPr="00B20B91">
      <w:rPr>
        <w:sz w:val="16"/>
        <w:szCs w:val="16"/>
      </w:rPr>
      <w:tab/>
    </w:r>
    <w:r w:rsidR="001C661C" w:rsidRPr="00B20B91">
      <w:rPr>
        <w:sz w:val="16"/>
        <w:szCs w:val="16"/>
      </w:rPr>
      <w:tab/>
      <w:t>(2016+) Version 1</w:t>
    </w:r>
    <w:r w:rsidR="008D4919">
      <w:rPr>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3D9" w:rsidRDefault="006943D9" w:rsidP="006943D9">
      <w:pPr>
        <w:spacing w:after="0" w:line="240" w:lineRule="auto"/>
      </w:pPr>
      <w:r>
        <w:separator/>
      </w:r>
    </w:p>
  </w:footnote>
  <w:footnote w:type="continuationSeparator" w:id="0">
    <w:p w:rsidR="006943D9" w:rsidRDefault="006943D9" w:rsidP="00694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8BE" w:rsidRDefault="008D4919">
    <w:pPr>
      <w:pStyle w:val="Header"/>
    </w:pPr>
    <w:r>
      <w:rPr>
        <w:noProof/>
        <w:lang w:eastAsia="en-GB"/>
      </w:rPr>
      <w:drawing>
        <wp:anchor distT="0" distB="0" distL="114300" distR="114300" simplePos="0" relativeHeight="251661312" behindDoc="1" locked="0" layoutInCell="1" allowOverlap="1">
          <wp:simplePos x="0" y="0"/>
          <wp:positionH relativeFrom="column">
            <wp:posOffset>4975860</wp:posOffset>
          </wp:positionH>
          <wp:positionV relativeFrom="paragraph">
            <wp:posOffset>-312420</wp:posOffset>
          </wp:positionV>
          <wp:extent cx="1943813" cy="116820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a14="http://schemas.microsoft.com/office/drawing/2010/main" val="0"/>
                      </a:ext>
                    </a:extLst>
                  </a:blip>
                  <a:stretch>
                    <a:fillRect/>
                  </a:stretch>
                </pic:blipFill>
                <pic:spPr>
                  <a:xfrm>
                    <a:off x="0" y="0"/>
                    <a:ext cx="1943813" cy="1168203"/>
                  </a:xfrm>
                  <a:prstGeom prst="rect">
                    <a:avLst/>
                  </a:prstGeom>
                </pic:spPr>
              </pic:pic>
            </a:graphicData>
          </a:graphic>
          <wp14:sizeRelH relativeFrom="page">
            <wp14:pctWidth>0</wp14:pctWidth>
          </wp14:sizeRelH>
          <wp14:sizeRelV relativeFrom="page">
            <wp14:pctHeight>0</wp14:pctHeight>
          </wp14:sizeRelV>
        </wp:anchor>
      </w:drawing>
    </w:r>
    <w:r w:rsidR="000A58BE">
      <w:rPr>
        <w:noProof/>
        <w:lang w:eastAsia="en-GB"/>
      </w:rPr>
      <w:drawing>
        <wp:anchor distT="0" distB="0" distL="114300" distR="114300" simplePos="0" relativeHeight="251660288" behindDoc="0" locked="0" layoutInCell="1" allowOverlap="1" wp14:anchorId="018144FF" wp14:editId="574098CB">
          <wp:simplePos x="0" y="0"/>
          <wp:positionH relativeFrom="margin">
            <wp:align>left</wp:align>
          </wp:positionH>
          <wp:positionV relativeFrom="paragraph">
            <wp:posOffset>5080</wp:posOffset>
          </wp:positionV>
          <wp:extent cx="1043940" cy="459645"/>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43940" cy="459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58BE" w:rsidRDefault="000A58BE" w:rsidP="00460004">
    <w:pPr>
      <w:pStyle w:val="Header"/>
      <w:jc w:val="center"/>
    </w:pPr>
  </w:p>
  <w:p w:rsidR="000A5D80" w:rsidRDefault="000A5D80">
    <w:pPr>
      <w:pStyle w:val="Header"/>
    </w:pPr>
  </w:p>
  <w:p w:rsidR="00623815" w:rsidRDefault="00623815" w:rsidP="00623815">
    <w:pPr>
      <w:pStyle w:val="Header"/>
    </w:pPr>
  </w:p>
  <w:p w:rsidR="00460004" w:rsidRDefault="004600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24C3E"/>
    <w:multiLevelType w:val="hybridMultilevel"/>
    <w:tmpl w:val="65C48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91C6C"/>
    <w:multiLevelType w:val="hybridMultilevel"/>
    <w:tmpl w:val="C276CB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4471FE"/>
    <w:multiLevelType w:val="hybridMultilevel"/>
    <w:tmpl w:val="C7081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64735"/>
    <w:multiLevelType w:val="hybridMultilevel"/>
    <w:tmpl w:val="E3FA6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23A7D"/>
    <w:multiLevelType w:val="hybridMultilevel"/>
    <w:tmpl w:val="278EF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4C7558"/>
    <w:multiLevelType w:val="hybridMultilevel"/>
    <w:tmpl w:val="F7228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B3010"/>
    <w:multiLevelType w:val="hybridMultilevel"/>
    <w:tmpl w:val="182E1AAC"/>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9EE597C"/>
    <w:multiLevelType w:val="hybridMultilevel"/>
    <w:tmpl w:val="6F4C5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000B23"/>
    <w:multiLevelType w:val="hybridMultilevel"/>
    <w:tmpl w:val="69D6B6DE"/>
    <w:lvl w:ilvl="0" w:tplc="D3FE546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2F0FA7"/>
    <w:multiLevelType w:val="hybridMultilevel"/>
    <w:tmpl w:val="6D7EF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3334F"/>
    <w:multiLevelType w:val="hybridMultilevel"/>
    <w:tmpl w:val="A8704D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C46E6F"/>
    <w:multiLevelType w:val="hybridMultilevel"/>
    <w:tmpl w:val="EE549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AB07AC"/>
    <w:multiLevelType w:val="hybridMultilevel"/>
    <w:tmpl w:val="F154E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C02C18"/>
    <w:multiLevelType w:val="hybridMultilevel"/>
    <w:tmpl w:val="B7E2E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ED2EFF"/>
    <w:multiLevelType w:val="hybridMultilevel"/>
    <w:tmpl w:val="486A5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A54B2E"/>
    <w:multiLevelType w:val="hybridMultilevel"/>
    <w:tmpl w:val="C700F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A23E48"/>
    <w:multiLevelType w:val="hybridMultilevel"/>
    <w:tmpl w:val="06789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C23074"/>
    <w:multiLevelType w:val="hybridMultilevel"/>
    <w:tmpl w:val="18DE8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ED7E35"/>
    <w:multiLevelType w:val="hybridMultilevel"/>
    <w:tmpl w:val="3A86B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626BCC"/>
    <w:multiLevelType w:val="hybridMultilevel"/>
    <w:tmpl w:val="7A7A35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15267E"/>
    <w:multiLevelType w:val="hybridMultilevel"/>
    <w:tmpl w:val="E2543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051A6A"/>
    <w:multiLevelType w:val="hybridMultilevel"/>
    <w:tmpl w:val="3642F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7E1440"/>
    <w:multiLevelType w:val="hybridMultilevel"/>
    <w:tmpl w:val="261A2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B30893"/>
    <w:multiLevelType w:val="hybridMultilevel"/>
    <w:tmpl w:val="1F462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243B86"/>
    <w:multiLevelType w:val="hybridMultilevel"/>
    <w:tmpl w:val="8578B3D4"/>
    <w:lvl w:ilvl="0" w:tplc="A776EA18">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C30437"/>
    <w:multiLevelType w:val="hybridMultilevel"/>
    <w:tmpl w:val="C6A67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167EFB"/>
    <w:multiLevelType w:val="hybridMultilevel"/>
    <w:tmpl w:val="49F80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273F74"/>
    <w:multiLevelType w:val="hybridMultilevel"/>
    <w:tmpl w:val="F6C0EE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4A5AB2"/>
    <w:multiLevelType w:val="hybridMultilevel"/>
    <w:tmpl w:val="747C3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9B01CB"/>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65041E93"/>
    <w:multiLevelType w:val="hybridMultilevel"/>
    <w:tmpl w:val="33B8A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E26CDB"/>
    <w:multiLevelType w:val="hybridMultilevel"/>
    <w:tmpl w:val="A790B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9D72B1"/>
    <w:multiLevelType w:val="hybridMultilevel"/>
    <w:tmpl w:val="90D244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F15023"/>
    <w:multiLevelType w:val="hybridMultilevel"/>
    <w:tmpl w:val="03F06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F27CCC"/>
    <w:multiLevelType w:val="hybridMultilevel"/>
    <w:tmpl w:val="EADC8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1059BD"/>
    <w:multiLevelType w:val="hybridMultilevel"/>
    <w:tmpl w:val="C1F8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5"/>
  </w:num>
  <w:num w:numId="4">
    <w:abstractNumId w:val="10"/>
  </w:num>
  <w:num w:numId="5">
    <w:abstractNumId w:val="27"/>
  </w:num>
  <w:num w:numId="6">
    <w:abstractNumId w:val="20"/>
  </w:num>
  <w:num w:numId="7">
    <w:abstractNumId w:val="34"/>
  </w:num>
  <w:num w:numId="8">
    <w:abstractNumId w:val="32"/>
  </w:num>
  <w:num w:numId="9">
    <w:abstractNumId w:val="35"/>
  </w:num>
  <w:num w:numId="10">
    <w:abstractNumId w:val="29"/>
  </w:num>
  <w:num w:numId="11">
    <w:abstractNumId w:val="33"/>
  </w:num>
  <w:num w:numId="12">
    <w:abstractNumId w:val="6"/>
  </w:num>
  <w:num w:numId="13">
    <w:abstractNumId w:val="21"/>
  </w:num>
  <w:num w:numId="14">
    <w:abstractNumId w:val="14"/>
  </w:num>
  <w:num w:numId="15">
    <w:abstractNumId w:val="28"/>
  </w:num>
  <w:num w:numId="16">
    <w:abstractNumId w:val="12"/>
  </w:num>
  <w:num w:numId="17">
    <w:abstractNumId w:val="16"/>
  </w:num>
  <w:num w:numId="18">
    <w:abstractNumId w:val="1"/>
  </w:num>
  <w:num w:numId="19">
    <w:abstractNumId w:val="19"/>
  </w:num>
  <w:num w:numId="20">
    <w:abstractNumId w:val="4"/>
  </w:num>
  <w:num w:numId="21">
    <w:abstractNumId w:val="18"/>
  </w:num>
  <w:num w:numId="22">
    <w:abstractNumId w:val="25"/>
  </w:num>
  <w:num w:numId="23">
    <w:abstractNumId w:val="17"/>
  </w:num>
  <w:num w:numId="24">
    <w:abstractNumId w:val="2"/>
  </w:num>
  <w:num w:numId="25">
    <w:abstractNumId w:val="5"/>
  </w:num>
  <w:num w:numId="26">
    <w:abstractNumId w:val="31"/>
  </w:num>
  <w:num w:numId="27">
    <w:abstractNumId w:val="3"/>
  </w:num>
  <w:num w:numId="28">
    <w:abstractNumId w:val="24"/>
  </w:num>
  <w:num w:numId="29">
    <w:abstractNumId w:val="13"/>
  </w:num>
  <w:num w:numId="30">
    <w:abstractNumId w:val="30"/>
  </w:num>
  <w:num w:numId="31">
    <w:abstractNumId w:val="0"/>
  </w:num>
  <w:num w:numId="32">
    <w:abstractNumId w:val="26"/>
  </w:num>
  <w:num w:numId="33">
    <w:abstractNumId w:val="11"/>
  </w:num>
  <w:num w:numId="34">
    <w:abstractNumId w:val="8"/>
  </w:num>
  <w:num w:numId="35">
    <w:abstractNumId w:val="9"/>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D1C"/>
    <w:rsid w:val="00000FBC"/>
    <w:rsid w:val="0000291B"/>
    <w:rsid w:val="000111F3"/>
    <w:rsid w:val="00053E97"/>
    <w:rsid w:val="00085F8B"/>
    <w:rsid w:val="000A4BD5"/>
    <w:rsid w:val="000A58BE"/>
    <w:rsid w:val="000A5D80"/>
    <w:rsid w:val="000B2598"/>
    <w:rsid w:val="00166854"/>
    <w:rsid w:val="00195A65"/>
    <w:rsid w:val="001B58BC"/>
    <w:rsid w:val="001B61F0"/>
    <w:rsid w:val="001C661C"/>
    <w:rsid w:val="0024777D"/>
    <w:rsid w:val="00276BDC"/>
    <w:rsid w:val="00287607"/>
    <w:rsid w:val="00301B07"/>
    <w:rsid w:val="003663DD"/>
    <w:rsid w:val="00366821"/>
    <w:rsid w:val="003A7418"/>
    <w:rsid w:val="00400DCB"/>
    <w:rsid w:val="00425F09"/>
    <w:rsid w:val="00436D1C"/>
    <w:rsid w:val="00460004"/>
    <w:rsid w:val="004A247D"/>
    <w:rsid w:val="004A73FB"/>
    <w:rsid w:val="004A74D4"/>
    <w:rsid w:val="004E1E51"/>
    <w:rsid w:val="004F2675"/>
    <w:rsid w:val="004F4A6B"/>
    <w:rsid w:val="00534D47"/>
    <w:rsid w:val="00545359"/>
    <w:rsid w:val="005C5760"/>
    <w:rsid w:val="005F52A8"/>
    <w:rsid w:val="00623815"/>
    <w:rsid w:val="006637A4"/>
    <w:rsid w:val="006943D9"/>
    <w:rsid w:val="006D0B63"/>
    <w:rsid w:val="00713854"/>
    <w:rsid w:val="00727093"/>
    <w:rsid w:val="007769F7"/>
    <w:rsid w:val="007F1B4A"/>
    <w:rsid w:val="0087463F"/>
    <w:rsid w:val="00896703"/>
    <w:rsid w:val="008A2ACE"/>
    <w:rsid w:val="008D4919"/>
    <w:rsid w:val="00937364"/>
    <w:rsid w:val="00940BAB"/>
    <w:rsid w:val="00966B12"/>
    <w:rsid w:val="00973F76"/>
    <w:rsid w:val="009D12F0"/>
    <w:rsid w:val="00A12CD1"/>
    <w:rsid w:val="00A269B4"/>
    <w:rsid w:val="00AA1235"/>
    <w:rsid w:val="00AE675A"/>
    <w:rsid w:val="00B20B91"/>
    <w:rsid w:val="00B34D68"/>
    <w:rsid w:val="00B53773"/>
    <w:rsid w:val="00BA2A15"/>
    <w:rsid w:val="00C07387"/>
    <w:rsid w:val="00C22386"/>
    <w:rsid w:val="00C63599"/>
    <w:rsid w:val="00C9068D"/>
    <w:rsid w:val="00C90D93"/>
    <w:rsid w:val="00CB0A08"/>
    <w:rsid w:val="00CD21A3"/>
    <w:rsid w:val="00CE0279"/>
    <w:rsid w:val="00D016E2"/>
    <w:rsid w:val="00D35C71"/>
    <w:rsid w:val="00D40518"/>
    <w:rsid w:val="00D82C9D"/>
    <w:rsid w:val="00D97C8C"/>
    <w:rsid w:val="00DA29B6"/>
    <w:rsid w:val="00DD43C8"/>
    <w:rsid w:val="00E20379"/>
    <w:rsid w:val="00E77496"/>
    <w:rsid w:val="00E826C4"/>
    <w:rsid w:val="00EA2F19"/>
    <w:rsid w:val="00ED5540"/>
    <w:rsid w:val="00EE2A50"/>
    <w:rsid w:val="00EF5DBA"/>
    <w:rsid w:val="00F04751"/>
    <w:rsid w:val="00F246DD"/>
    <w:rsid w:val="00F53AC7"/>
    <w:rsid w:val="00F95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429BE32"/>
  <w15:docId w15:val="{9F087AD6-C0B5-41EE-96DC-BAEE4CC09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C661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6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63D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25F09"/>
    <w:pPr>
      <w:ind w:left="720"/>
      <w:contextualSpacing/>
    </w:pPr>
  </w:style>
  <w:style w:type="paragraph" w:styleId="Header">
    <w:name w:val="header"/>
    <w:basedOn w:val="Normal"/>
    <w:link w:val="HeaderChar"/>
    <w:uiPriority w:val="99"/>
    <w:unhideWhenUsed/>
    <w:rsid w:val="006943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3D9"/>
  </w:style>
  <w:style w:type="paragraph" w:styleId="Footer">
    <w:name w:val="footer"/>
    <w:basedOn w:val="Normal"/>
    <w:link w:val="FooterChar"/>
    <w:uiPriority w:val="99"/>
    <w:unhideWhenUsed/>
    <w:rsid w:val="006943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3D9"/>
  </w:style>
  <w:style w:type="paragraph" w:styleId="Title">
    <w:name w:val="Title"/>
    <w:basedOn w:val="Normal"/>
    <w:next w:val="Normal"/>
    <w:link w:val="TitleChar"/>
    <w:uiPriority w:val="10"/>
    <w:qFormat/>
    <w:rsid w:val="001C66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661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C661C"/>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E203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379"/>
    <w:rPr>
      <w:rFonts w:ascii="Segoe UI" w:hAnsi="Segoe UI" w:cs="Segoe UI"/>
      <w:sz w:val="18"/>
      <w:szCs w:val="18"/>
    </w:rPr>
  </w:style>
  <w:style w:type="paragraph" w:styleId="NormalWeb">
    <w:name w:val="Normal (Web)"/>
    <w:basedOn w:val="Normal"/>
    <w:rsid w:val="00713854"/>
    <w:pPr>
      <w:spacing w:before="100" w:beforeAutospacing="1" w:after="100" w:afterAutospacing="1" w:line="240" w:lineRule="auto"/>
    </w:pPr>
    <w:rPr>
      <w:rFonts w:ascii="Arial Unicode MS" w:eastAsia="Arial Unicode MS" w:hAnsi="Arial Unicode MS" w:cs="Arial"/>
      <w:sz w:val="24"/>
      <w:szCs w:val="20"/>
    </w:rPr>
  </w:style>
  <w:style w:type="paragraph" w:styleId="NoSpacing">
    <w:name w:val="No Spacing"/>
    <w:uiPriority w:val="1"/>
    <w:qFormat/>
    <w:rsid w:val="0024777D"/>
    <w:pPr>
      <w:spacing w:after="0" w:line="240" w:lineRule="auto"/>
    </w:pPr>
    <w:rPr>
      <w:rFonts w:eastAsiaTheme="minorEastAsia"/>
      <w:lang w:eastAsia="zh-CN"/>
    </w:rPr>
  </w:style>
  <w:style w:type="character" w:customStyle="1" w:styleId="a-size-large">
    <w:name w:val="a-size-large"/>
    <w:basedOn w:val="DefaultParagraphFont"/>
    <w:rsid w:val="00195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61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CS3 Emerging Music Models</vt:lpstr>
    </vt:vector>
  </TitlesOfParts>
  <Company>Leeds College Of Music</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CS3 Emerging Music Models</dc:title>
  <dc:creator>LCoM User</dc:creator>
  <cp:lastModifiedBy>Stephenson, Caroline</cp:lastModifiedBy>
  <cp:revision>3</cp:revision>
  <cp:lastPrinted>2019-02-06T08:25:00Z</cp:lastPrinted>
  <dcterms:created xsi:type="dcterms:W3CDTF">2021-04-29T10:11:00Z</dcterms:created>
  <dcterms:modified xsi:type="dcterms:W3CDTF">2021-04-29T10:12:00Z</dcterms:modified>
</cp:coreProperties>
</file>