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A3A48" w:rsidRPr="0020770E" w:rsidRDefault="005A3A48" w:rsidP="00E51D5B">
      <w:pPr>
        <w:rPr>
          <w:b/>
          <w:sz w:val="28"/>
          <w:szCs w:val="28"/>
        </w:rPr>
      </w:pPr>
    </w:p>
    <w:tbl>
      <w:tblPr>
        <w:tblW w:w="0" w:type="auto"/>
        <w:tblLook w:val="0000" w:firstRow="0" w:lastRow="0" w:firstColumn="0" w:lastColumn="0" w:noHBand="0" w:noVBand="0"/>
      </w:tblPr>
      <w:tblGrid>
        <w:gridCol w:w="3397"/>
        <w:gridCol w:w="4905"/>
      </w:tblGrid>
      <w:tr w:rsidR="004451A9" w:rsidTr="004C4459">
        <w:tc>
          <w:tcPr>
            <w:tcW w:w="3397" w:type="dxa"/>
            <w:tcBorders>
              <w:top w:val="single" w:sz="4" w:space="0" w:color="auto"/>
              <w:left w:val="single" w:sz="4" w:space="0" w:color="auto"/>
              <w:bottom w:val="single" w:sz="4" w:space="0" w:color="auto"/>
              <w:right w:val="single" w:sz="4" w:space="0" w:color="auto"/>
            </w:tcBorders>
            <w:shd w:val="clear" w:color="auto" w:fill="BDD6EE"/>
          </w:tcPr>
          <w:p w:rsidR="004451A9" w:rsidRDefault="008618B6" w:rsidP="00E51D5B">
            <w:pPr>
              <w:rPr>
                <w:b/>
              </w:rPr>
            </w:pPr>
            <w:r>
              <w:rPr>
                <w:b/>
              </w:rPr>
              <w:t>Revi</w:t>
            </w:r>
            <w:r w:rsidR="004451A9">
              <w:rPr>
                <w:b/>
              </w:rPr>
              <w:t>sion number</w:t>
            </w:r>
            <w:r w:rsidR="004C4459">
              <w:rPr>
                <w:b/>
              </w:rPr>
              <w:t>:</w:t>
            </w:r>
          </w:p>
        </w:tc>
        <w:tc>
          <w:tcPr>
            <w:tcW w:w="4905" w:type="dxa"/>
            <w:tcBorders>
              <w:top w:val="single" w:sz="4" w:space="0" w:color="auto"/>
              <w:left w:val="single" w:sz="4" w:space="0" w:color="auto"/>
              <w:bottom w:val="single" w:sz="4" w:space="0" w:color="auto"/>
              <w:right w:val="single" w:sz="4" w:space="0" w:color="auto"/>
            </w:tcBorders>
          </w:tcPr>
          <w:p w:rsidR="004451A9" w:rsidRPr="004451A9" w:rsidRDefault="004C4459" w:rsidP="00E51D5B">
            <w:r>
              <w:t>1</w:t>
            </w:r>
          </w:p>
        </w:tc>
      </w:tr>
      <w:tr w:rsidR="004451A9" w:rsidTr="004C4459">
        <w:tc>
          <w:tcPr>
            <w:tcW w:w="3397" w:type="dxa"/>
            <w:tcBorders>
              <w:top w:val="single" w:sz="4" w:space="0" w:color="auto"/>
              <w:left w:val="single" w:sz="4" w:space="0" w:color="auto"/>
              <w:bottom w:val="single" w:sz="4" w:space="0" w:color="auto"/>
              <w:right w:val="single" w:sz="4" w:space="0" w:color="auto"/>
            </w:tcBorders>
            <w:shd w:val="clear" w:color="auto" w:fill="BDD6EE"/>
          </w:tcPr>
          <w:p w:rsidR="004451A9" w:rsidRDefault="004C4459" w:rsidP="00E51D5B">
            <w:pPr>
              <w:rPr>
                <w:b/>
              </w:rPr>
            </w:pPr>
            <w:r>
              <w:rPr>
                <w:b/>
              </w:rPr>
              <w:t>Applicable from:</w:t>
            </w:r>
          </w:p>
        </w:tc>
        <w:tc>
          <w:tcPr>
            <w:tcW w:w="4905" w:type="dxa"/>
            <w:tcBorders>
              <w:top w:val="single" w:sz="4" w:space="0" w:color="auto"/>
              <w:left w:val="single" w:sz="4" w:space="0" w:color="auto"/>
              <w:bottom w:val="single" w:sz="4" w:space="0" w:color="auto"/>
              <w:right w:val="single" w:sz="4" w:space="0" w:color="auto"/>
            </w:tcBorders>
          </w:tcPr>
          <w:p w:rsidR="004451A9" w:rsidRPr="004451A9" w:rsidRDefault="004C4459" w:rsidP="00E51D5B">
            <w:r>
              <w:t>March 31</w:t>
            </w:r>
            <w:r w:rsidRPr="004C4459">
              <w:rPr>
                <w:vertAlign w:val="superscript"/>
              </w:rPr>
              <w:t>st</w:t>
            </w:r>
            <w:r>
              <w:t xml:space="preserve"> 2023</w:t>
            </w:r>
          </w:p>
        </w:tc>
      </w:tr>
      <w:tr w:rsidR="004451A9" w:rsidTr="004C4459">
        <w:tc>
          <w:tcPr>
            <w:tcW w:w="3397" w:type="dxa"/>
            <w:tcBorders>
              <w:top w:val="single" w:sz="4" w:space="0" w:color="auto"/>
              <w:left w:val="single" w:sz="4" w:space="0" w:color="auto"/>
              <w:bottom w:val="single" w:sz="4" w:space="0" w:color="auto"/>
              <w:right w:val="single" w:sz="4" w:space="0" w:color="auto"/>
            </w:tcBorders>
            <w:shd w:val="clear" w:color="auto" w:fill="BDD6EE"/>
          </w:tcPr>
          <w:p w:rsidR="004451A9" w:rsidRDefault="008618B6" w:rsidP="00E51D5B">
            <w:pPr>
              <w:rPr>
                <w:b/>
              </w:rPr>
            </w:pPr>
            <w:r>
              <w:rPr>
                <w:b/>
              </w:rPr>
              <w:t>Approved by</w:t>
            </w:r>
            <w:r w:rsidR="004C4459">
              <w:rPr>
                <w:b/>
              </w:rPr>
              <w:t>:</w:t>
            </w:r>
          </w:p>
        </w:tc>
        <w:tc>
          <w:tcPr>
            <w:tcW w:w="4905" w:type="dxa"/>
            <w:tcBorders>
              <w:top w:val="single" w:sz="4" w:space="0" w:color="auto"/>
              <w:left w:val="single" w:sz="4" w:space="0" w:color="auto"/>
              <w:bottom w:val="single" w:sz="4" w:space="0" w:color="auto"/>
              <w:right w:val="single" w:sz="4" w:space="0" w:color="auto"/>
            </w:tcBorders>
          </w:tcPr>
          <w:p w:rsidR="004451A9" w:rsidRPr="004451A9" w:rsidRDefault="006A7BD9" w:rsidP="00611971">
            <w:r>
              <w:t xml:space="preserve">Academic </w:t>
            </w:r>
            <w:r w:rsidR="00432793">
              <w:t>Council</w:t>
            </w:r>
          </w:p>
        </w:tc>
      </w:tr>
      <w:tr w:rsidR="004451A9" w:rsidRPr="007D281D" w:rsidTr="004C4459">
        <w:tc>
          <w:tcPr>
            <w:tcW w:w="3397" w:type="dxa"/>
            <w:tcBorders>
              <w:top w:val="single" w:sz="4" w:space="0" w:color="auto"/>
              <w:left w:val="single" w:sz="4" w:space="0" w:color="auto"/>
              <w:bottom w:val="single" w:sz="4" w:space="0" w:color="auto"/>
              <w:right w:val="single" w:sz="4" w:space="0" w:color="auto"/>
            </w:tcBorders>
            <w:shd w:val="clear" w:color="auto" w:fill="BDD6EE"/>
          </w:tcPr>
          <w:p w:rsidR="004451A9" w:rsidRDefault="004C4459" w:rsidP="00E51D5B">
            <w:pPr>
              <w:rPr>
                <w:b/>
              </w:rPr>
            </w:pPr>
            <w:r>
              <w:rPr>
                <w:b/>
              </w:rPr>
              <w:t>Date of approval:</w:t>
            </w:r>
          </w:p>
        </w:tc>
        <w:tc>
          <w:tcPr>
            <w:tcW w:w="4905" w:type="dxa"/>
            <w:tcBorders>
              <w:top w:val="single" w:sz="4" w:space="0" w:color="auto"/>
              <w:left w:val="single" w:sz="4" w:space="0" w:color="auto"/>
              <w:bottom w:val="single" w:sz="4" w:space="0" w:color="auto"/>
              <w:right w:val="single" w:sz="4" w:space="0" w:color="auto"/>
            </w:tcBorders>
          </w:tcPr>
          <w:p w:rsidR="004451A9" w:rsidRPr="004451A9" w:rsidRDefault="004C4459" w:rsidP="006124D3">
            <w:r>
              <w:t>3</w:t>
            </w:r>
            <w:bookmarkStart w:id="0" w:name="_GoBack"/>
            <w:bookmarkEnd w:id="0"/>
            <w:r>
              <w:t>1</w:t>
            </w:r>
            <w:r w:rsidRPr="004C4459">
              <w:rPr>
                <w:vertAlign w:val="superscript"/>
              </w:rPr>
              <w:t>st</w:t>
            </w:r>
            <w:r>
              <w:t xml:space="preserve"> March 2023</w:t>
            </w:r>
          </w:p>
        </w:tc>
      </w:tr>
      <w:tr w:rsidR="00A630A4" w:rsidRPr="007D281D" w:rsidTr="004C4459">
        <w:tc>
          <w:tcPr>
            <w:tcW w:w="3397" w:type="dxa"/>
            <w:tcBorders>
              <w:top w:val="single" w:sz="4" w:space="0" w:color="auto"/>
              <w:left w:val="single" w:sz="4" w:space="0" w:color="auto"/>
              <w:bottom w:val="single" w:sz="4" w:space="0" w:color="auto"/>
              <w:right w:val="single" w:sz="4" w:space="0" w:color="auto"/>
            </w:tcBorders>
            <w:shd w:val="clear" w:color="auto" w:fill="BDD6EE"/>
          </w:tcPr>
          <w:p w:rsidR="00A630A4" w:rsidRDefault="00A630A4" w:rsidP="00E51D5B">
            <w:pPr>
              <w:rPr>
                <w:b/>
              </w:rPr>
            </w:pPr>
            <w:r>
              <w:rPr>
                <w:b/>
              </w:rPr>
              <w:t>Date of next review:</w:t>
            </w:r>
          </w:p>
        </w:tc>
        <w:tc>
          <w:tcPr>
            <w:tcW w:w="4905" w:type="dxa"/>
            <w:tcBorders>
              <w:top w:val="single" w:sz="4" w:space="0" w:color="auto"/>
              <w:left w:val="single" w:sz="4" w:space="0" w:color="auto"/>
              <w:bottom w:val="single" w:sz="4" w:space="0" w:color="auto"/>
              <w:right w:val="single" w:sz="4" w:space="0" w:color="auto"/>
            </w:tcBorders>
          </w:tcPr>
          <w:p w:rsidR="00A630A4" w:rsidRDefault="00A630A4" w:rsidP="006124D3">
            <w:r>
              <w:t>June 2024</w:t>
            </w:r>
          </w:p>
        </w:tc>
      </w:tr>
      <w:tr w:rsidR="008618B6" w:rsidTr="004C4459">
        <w:tc>
          <w:tcPr>
            <w:tcW w:w="3397" w:type="dxa"/>
            <w:tcBorders>
              <w:top w:val="single" w:sz="4" w:space="0" w:color="auto"/>
              <w:left w:val="single" w:sz="4" w:space="0" w:color="auto"/>
              <w:bottom w:val="single" w:sz="4" w:space="0" w:color="auto"/>
              <w:right w:val="single" w:sz="4" w:space="0" w:color="auto"/>
            </w:tcBorders>
            <w:shd w:val="clear" w:color="auto" w:fill="BDD6EE"/>
          </w:tcPr>
          <w:p w:rsidR="008618B6" w:rsidRDefault="004C4459" w:rsidP="00E51D5B">
            <w:pPr>
              <w:rPr>
                <w:b/>
              </w:rPr>
            </w:pPr>
            <w:r>
              <w:rPr>
                <w:b/>
              </w:rPr>
              <w:t>Scope of policy (audience):</w:t>
            </w:r>
          </w:p>
        </w:tc>
        <w:tc>
          <w:tcPr>
            <w:tcW w:w="4905" w:type="dxa"/>
            <w:tcBorders>
              <w:top w:val="single" w:sz="4" w:space="0" w:color="auto"/>
              <w:left w:val="single" w:sz="4" w:space="0" w:color="auto"/>
              <w:bottom w:val="single" w:sz="4" w:space="0" w:color="auto"/>
              <w:right w:val="single" w:sz="4" w:space="0" w:color="auto"/>
            </w:tcBorders>
          </w:tcPr>
          <w:p w:rsidR="008618B6" w:rsidRPr="008618B6" w:rsidRDefault="004C4459" w:rsidP="006124D3">
            <w:r>
              <w:t>Staff, potential external members</w:t>
            </w:r>
          </w:p>
        </w:tc>
      </w:tr>
      <w:tr w:rsidR="004C4459" w:rsidTr="004C4459">
        <w:tc>
          <w:tcPr>
            <w:tcW w:w="3397" w:type="dxa"/>
            <w:tcBorders>
              <w:top w:val="single" w:sz="4" w:space="0" w:color="auto"/>
              <w:left w:val="single" w:sz="4" w:space="0" w:color="auto"/>
              <w:bottom w:val="single" w:sz="4" w:space="0" w:color="auto"/>
              <w:right w:val="single" w:sz="4" w:space="0" w:color="auto"/>
            </w:tcBorders>
            <w:shd w:val="clear" w:color="auto" w:fill="BDD6EE"/>
          </w:tcPr>
          <w:p w:rsidR="004C4459" w:rsidRDefault="004C4459" w:rsidP="00E51D5B">
            <w:pPr>
              <w:rPr>
                <w:b/>
              </w:rPr>
            </w:pPr>
            <w:r>
              <w:rPr>
                <w:b/>
              </w:rPr>
              <w:t>Policyholder:</w:t>
            </w:r>
          </w:p>
        </w:tc>
        <w:tc>
          <w:tcPr>
            <w:tcW w:w="4905" w:type="dxa"/>
            <w:tcBorders>
              <w:top w:val="single" w:sz="4" w:space="0" w:color="auto"/>
              <w:left w:val="single" w:sz="4" w:space="0" w:color="auto"/>
              <w:bottom w:val="single" w:sz="4" w:space="0" w:color="auto"/>
              <w:right w:val="single" w:sz="4" w:space="0" w:color="auto"/>
            </w:tcBorders>
          </w:tcPr>
          <w:p w:rsidR="004C4459" w:rsidRDefault="004C4459" w:rsidP="006124D3">
            <w:r>
              <w:t>Head of Help, Library and Performance Resources</w:t>
            </w:r>
          </w:p>
        </w:tc>
      </w:tr>
      <w:tr w:rsidR="004C4459" w:rsidTr="004C4459">
        <w:tc>
          <w:tcPr>
            <w:tcW w:w="3397" w:type="dxa"/>
            <w:tcBorders>
              <w:top w:val="single" w:sz="4" w:space="0" w:color="auto"/>
              <w:left w:val="single" w:sz="4" w:space="0" w:color="auto"/>
              <w:bottom w:val="single" w:sz="4" w:space="0" w:color="auto"/>
              <w:right w:val="single" w:sz="4" w:space="0" w:color="auto"/>
            </w:tcBorders>
            <w:shd w:val="clear" w:color="auto" w:fill="BDD6EE"/>
          </w:tcPr>
          <w:p w:rsidR="004C4459" w:rsidRDefault="004C4459" w:rsidP="00E51D5B">
            <w:pPr>
              <w:rPr>
                <w:b/>
              </w:rPr>
            </w:pPr>
            <w:r>
              <w:rPr>
                <w:b/>
              </w:rPr>
              <w:t>Contact:</w:t>
            </w:r>
          </w:p>
        </w:tc>
        <w:tc>
          <w:tcPr>
            <w:tcW w:w="4905" w:type="dxa"/>
            <w:tcBorders>
              <w:top w:val="single" w:sz="4" w:space="0" w:color="auto"/>
              <w:left w:val="single" w:sz="4" w:space="0" w:color="auto"/>
              <w:bottom w:val="single" w:sz="4" w:space="0" w:color="auto"/>
              <w:right w:val="single" w:sz="4" w:space="0" w:color="auto"/>
            </w:tcBorders>
          </w:tcPr>
          <w:p w:rsidR="004C4459" w:rsidRDefault="00432793" w:rsidP="006124D3">
            <w:hyperlink r:id="rId8" w:history="1">
              <w:r w:rsidR="004C4459" w:rsidRPr="006417E7">
                <w:rPr>
                  <w:rStyle w:val="Hyperlink"/>
                </w:rPr>
                <w:t>quality@leedsconservatoire.ac.uk</w:t>
              </w:r>
            </w:hyperlink>
          </w:p>
        </w:tc>
      </w:tr>
      <w:tr w:rsidR="004C4459" w:rsidTr="004C4459">
        <w:tc>
          <w:tcPr>
            <w:tcW w:w="3397" w:type="dxa"/>
            <w:tcBorders>
              <w:top w:val="single" w:sz="4" w:space="0" w:color="auto"/>
              <w:left w:val="single" w:sz="4" w:space="0" w:color="auto"/>
              <w:bottom w:val="single" w:sz="4" w:space="0" w:color="auto"/>
              <w:right w:val="single" w:sz="4" w:space="0" w:color="auto"/>
            </w:tcBorders>
            <w:shd w:val="clear" w:color="auto" w:fill="BDD6EE"/>
          </w:tcPr>
          <w:p w:rsidR="004C4459" w:rsidRDefault="004C4459" w:rsidP="00E51D5B">
            <w:pPr>
              <w:rPr>
                <w:b/>
              </w:rPr>
            </w:pPr>
            <w:r>
              <w:rPr>
                <w:b/>
              </w:rPr>
              <w:t>Alternative formats:</w:t>
            </w:r>
          </w:p>
        </w:tc>
        <w:tc>
          <w:tcPr>
            <w:tcW w:w="4905" w:type="dxa"/>
            <w:tcBorders>
              <w:top w:val="single" w:sz="4" w:space="0" w:color="auto"/>
              <w:left w:val="single" w:sz="4" w:space="0" w:color="auto"/>
              <w:bottom w:val="single" w:sz="4" w:space="0" w:color="auto"/>
              <w:right w:val="single" w:sz="4" w:space="0" w:color="auto"/>
            </w:tcBorders>
          </w:tcPr>
          <w:p w:rsidR="004C4459" w:rsidRDefault="004C4459" w:rsidP="006124D3">
            <w:r>
              <w:t>To be made available on application</w:t>
            </w:r>
          </w:p>
        </w:tc>
      </w:tr>
      <w:tr w:rsidR="004451A9" w:rsidTr="004C4459">
        <w:tc>
          <w:tcPr>
            <w:tcW w:w="3397" w:type="dxa"/>
            <w:tcBorders>
              <w:top w:val="single" w:sz="4" w:space="0" w:color="auto"/>
              <w:bottom w:val="single" w:sz="4" w:space="0" w:color="auto"/>
            </w:tcBorders>
          </w:tcPr>
          <w:p w:rsidR="004451A9" w:rsidRDefault="004451A9" w:rsidP="00E51D5B">
            <w:pPr>
              <w:rPr>
                <w:b/>
              </w:rPr>
            </w:pPr>
          </w:p>
        </w:tc>
        <w:tc>
          <w:tcPr>
            <w:tcW w:w="4905" w:type="dxa"/>
            <w:tcBorders>
              <w:top w:val="single" w:sz="4" w:space="0" w:color="auto"/>
              <w:bottom w:val="single" w:sz="4" w:space="0" w:color="auto"/>
            </w:tcBorders>
          </w:tcPr>
          <w:p w:rsidR="004451A9" w:rsidRDefault="004451A9" w:rsidP="00E51D5B">
            <w:pPr>
              <w:rPr>
                <w:b/>
              </w:rPr>
            </w:pPr>
          </w:p>
        </w:tc>
      </w:tr>
      <w:tr w:rsidR="004451A9" w:rsidTr="004C4459">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rsidR="004451A9" w:rsidRDefault="004451A9" w:rsidP="00E51D5B">
            <w:pPr>
              <w:rPr>
                <w:b/>
              </w:rPr>
            </w:pPr>
            <w:proofErr w:type="gramStart"/>
            <w:r>
              <w:rPr>
                <w:b/>
              </w:rPr>
              <w:t>Linked</w:t>
            </w:r>
            <w:r w:rsidR="00CB5294">
              <w:rPr>
                <w:b/>
              </w:rPr>
              <w:t xml:space="preserve"> </w:t>
            </w:r>
            <w:r>
              <w:rPr>
                <w:b/>
              </w:rPr>
              <w:t xml:space="preserve"> external</w:t>
            </w:r>
            <w:proofErr w:type="gramEnd"/>
            <w:r>
              <w:rPr>
                <w:b/>
              </w:rPr>
              <w:t xml:space="preserve"> codes/regulations</w:t>
            </w:r>
          </w:p>
        </w:tc>
      </w:tr>
      <w:tr w:rsidR="006A7BD9" w:rsidTr="004C4459">
        <w:tc>
          <w:tcPr>
            <w:tcW w:w="8302" w:type="dxa"/>
            <w:gridSpan w:val="2"/>
            <w:tcBorders>
              <w:top w:val="single" w:sz="4" w:space="0" w:color="auto"/>
              <w:left w:val="single" w:sz="4" w:space="0" w:color="auto"/>
              <w:bottom w:val="single" w:sz="4" w:space="0" w:color="auto"/>
              <w:right w:val="single" w:sz="4" w:space="0" w:color="auto"/>
            </w:tcBorders>
          </w:tcPr>
          <w:p w:rsidR="006A7BD9" w:rsidRPr="006A7BD9" w:rsidRDefault="006124D3" w:rsidP="006A7BD9">
            <w:pPr>
              <w:spacing w:before="40" w:after="40"/>
              <w:rPr>
                <w:sz w:val="22"/>
              </w:rPr>
            </w:pPr>
            <w:proofErr w:type="spellStart"/>
            <w:r w:rsidRPr="006124D3">
              <w:rPr>
                <w:sz w:val="22"/>
              </w:rPr>
              <w:t>Sconul</w:t>
            </w:r>
            <w:proofErr w:type="spellEnd"/>
            <w:r w:rsidRPr="006124D3">
              <w:rPr>
                <w:sz w:val="22"/>
              </w:rPr>
              <w:t xml:space="preserve"> access regulations https://www.sconul.ac.uk/sconul-access</w:t>
            </w:r>
          </w:p>
        </w:tc>
      </w:tr>
      <w:tr w:rsidR="006A7BD9" w:rsidTr="004C4459">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rsidR="006A7BD9" w:rsidRDefault="006A7BD9" w:rsidP="006A7BD9">
            <w:pPr>
              <w:rPr>
                <w:b/>
              </w:rPr>
            </w:pPr>
            <w:r>
              <w:rPr>
                <w:b/>
              </w:rPr>
              <w:t>Linked documents/references</w:t>
            </w:r>
          </w:p>
        </w:tc>
      </w:tr>
      <w:tr w:rsidR="006A7BD9" w:rsidTr="006A7BD9">
        <w:tc>
          <w:tcPr>
            <w:tcW w:w="8302" w:type="dxa"/>
            <w:gridSpan w:val="2"/>
            <w:tcBorders>
              <w:top w:val="single" w:sz="4" w:space="0" w:color="auto"/>
              <w:left w:val="single" w:sz="4" w:space="0" w:color="auto"/>
              <w:bottom w:val="single" w:sz="4" w:space="0" w:color="auto"/>
              <w:right w:val="single" w:sz="4" w:space="0" w:color="auto"/>
            </w:tcBorders>
          </w:tcPr>
          <w:p w:rsidR="006A7BD9" w:rsidRPr="006A7BD9" w:rsidRDefault="006124D3" w:rsidP="006A7BD9">
            <w:pPr>
              <w:rPr>
                <w:sz w:val="22"/>
              </w:rPr>
            </w:pPr>
            <w:r w:rsidRPr="006124D3">
              <w:rPr>
                <w:sz w:val="22"/>
              </w:rPr>
              <w:t>Library Regulations - Internal Users</w:t>
            </w:r>
          </w:p>
        </w:tc>
      </w:tr>
      <w:tr w:rsidR="006A7BD9" w:rsidTr="004C4459">
        <w:tc>
          <w:tcPr>
            <w:tcW w:w="8302" w:type="dxa"/>
            <w:gridSpan w:val="2"/>
            <w:tcBorders>
              <w:top w:val="single" w:sz="4" w:space="0" w:color="auto"/>
              <w:left w:val="single" w:sz="4" w:space="0" w:color="auto"/>
              <w:bottom w:val="single" w:sz="4" w:space="0" w:color="auto"/>
              <w:right w:val="single" w:sz="4" w:space="0" w:color="auto"/>
            </w:tcBorders>
            <w:shd w:val="clear" w:color="auto" w:fill="BDD6EE"/>
          </w:tcPr>
          <w:p w:rsidR="006A7BD9" w:rsidRDefault="006A7BD9" w:rsidP="006A7BD9">
            <w:pPr>
              <w:rPr>
                <w:b/>
              </w:rPr>
            </w:pPr>
            <w:r>
              <w:rPr>
                <w:b/>
              </w:rPr>
              <w:t>Equality Impact Assessment information</w:t>
            </w:r>
          </w:p>
        </w:tc>
      </w:tr>
      <w:tr w:rsidR="006A7BD9" w:rsidTr="006A7BD9">
        <w:trPr>
          <w:trHeight w:val="60"/>
        </w:trPr>
        <w:tc>
          <w:tcPr>
            <w:tcW w:w="8302" w:type="dxa"/>
            <w:gridSpan w:val="2"/>
            <w:tcBorders>
              <w:top w:val="single" w:sz="4" w:space="0" w:color="auto"/>
              <w:left w:val="single" w:sz="4" w:space="0" w:color="auto"/>
              <w:bottom w:val="single" w:sz="4" w:space="0" w:color="auto"/>
              <w:right w:val="single" w:sz="4" w:space="0" w:color="auto"/>
            </w:tcBorders>
          </w:tcPr>
          <w:p w:rsidR="006A7BD9" w:rsidRPr="005A3A48" w:rsidRDefault="006A7BD9" w:rsidP="006A7BD9">
            <w:pPr>
              <w:rPr>
                <w:sz w:val="22"/>
                <w:szCs w:val="22"/>
              </w:rPr>
            </w:pPr>
          </w:p>
        </w:tc>
      </w:tr>
    </w:tbl>
    <w:p w:rsidR="00FB7118" w:rsidRDefault="00FB7118" w:rsidP="00E51D5B">
      <w:pPr>
        <w:rPr>
          <w:b/>
        </w:rPr>
      </w:pPr>
    </w:p>
    <w:tbl>
      <w:tblPr>
        <w:tblW w:w="0" w:type="auto"/>
        <w:tblLook w:val="0000" w:firstRow="0" w:lastRow="0" w:firstColumn="0" w:lastColumn="0" w:noHBand="0" w:noVBand="0"/>
      </w:tblPr>
      <w:tblGrid>
        <w:gridCol w:w="8302"/>
      </w:tblGrid>
      <w:tr w:rsidR="00DF2F92" w:rsidTr="004C4459">
        <w:tc>
          <w:tcPr>
            <w:tcW w:w="8302" w:type="dxa"/>
            <w:tcBorders>
              <w:top w:val="single" w:sz="4" w:space="0" w:color="auto"/>
              <w:left w:val="single" w:sz="4" w:space="0" w:color="auto"/>
              <w:bottom w:val="single" w:sz="4" w:space="0" w:color="auto"/>
              <w:right w:val="single" w:sz="4" w:space="0" w:color="auto"/>
            </w:tcBorders>
            <w:shd w:val="clear" w:color="auto" w:fill="BDD6EE"/>
          </w:tcPr>
          <w:p w:rsidR="00DF2F92" w:rsidRDefault="00DF2F92" w:rsidP="007457D1">
            <w:pPr>
              <w:rPr>
                <w:b/>
              </w:rPr>
            </w:pPr>
            <w:r>
              <w:rPr>
                <w:b/>
              </w:rPr>
              <w:t>Policy Statement</w:t>
            </w:r>
          </w:p>
        </w:tc>
      </w:tr>
      <w:tr w:rsidR="00DF2F92" w:rsidRPr="004451A9" w:rsidTr="006124D3">
        <w:tc>
          <w:tcPr>
            <w:tcW w:w="8302" w:type="dxa"/>
            <w:tcBorders>
              <w:top w:val="single" w:sz="4" w:space="0" w:color="auto"/>
              <w:left w:val="single" w:sz="4" w:space="0" w:color="auto"/>
              <w:bottom w:val="single" w:sz="4" w:space="0" w:color="auto"/>
              <w:right w:val="single" w:sz="4" w:space="0" w:color="auto"/>
            </w:tcBorders>
          </w:tcPr>
          <w:p w:rsidR="00DF2F92" w:rsidRPr="006A7BD9" w:rsidRDefault="006124D3" w:rsidP="006A7BD9">
            <w:pPr>
              <w:spacing w:before="40" w:after="40"/>
            </w:pPr>
            <w:r w:rsidRPr="006124D3">
              <w:rPr>
                <w:sz w:val="22"/>
              </w:rPr>
              <w:t>This policy outlines how members of the public will be given access to the LC library. It seeks to balance our commitments to major donors to expand our offer to the public with the need to ensure students and staff are prioritised in access the library space and resources.</w:t>
            </w:r>
          </w:p>
        </w:tc>
      </w:tr>
      <w:tr w:rsidR="00DF2F92" w:rsidTr="004C4459">
        <w:tc>
          <w:tcPr>
            <w:tcW w:w="8522" w:type="dxa"/>
            <w:tcBorders>
              <w:top w:val="single" w:sz="4" w:space="0" w:color="auto"/>
              <w:left w:val="single" w:sz="4" w:space="0" w:color="auto"/>
              <w:bottom w:val="single" w:sz="4" w:space="0" w:color="auto"/>
              <w:right w:val="single" w:sz="4" w:space="0" w:color="auto"/>
            </w:tcBorders>
            <w:shd w:val="clear" w:color="auto" w:fill="BDD6EE"/>
          </w:tcPr>
          <w:p w:rsidR="00DF2F92" w:rsidRDefault="00DF2F92" w:rsidP="007457D1">
            <w:pPr>
              <w:rPr>
                <w:b/>
              </w:rPr>
            </w:pPr>
            <w:r>
              <w:rPr>
                <w:b/>
              </w:rPr>
              <w:t>Policy</w:t>
            </w:r>
          </w:p>
        </w:tc>
      </w:tr>
      <w:tr w:rsidR="006124D3" w:rsidRPr="005A3A48" w:rsidTr="006124D3">
        <w:tc>
          <w:tcPr>
            <w:tcW w:w="8302" w:type="dxa"/>
            <w:tcBorders>
              <w:top w:val="single" w:sz="4" w:space="0" w:color="auto"/>
              <w:left w:val="single" w:sz="4" w:space="0" w:color="auto"/>
              <w:bottom w:val="single" w:sz="4" w:space="0" w:color="auto"/>
              <w:right w:val="single" w:sz="4" w:space="0" w:color="auto"/>
            </w:tcBorders>
          </w:tcPr>
          <w:p w:rsidR="006124D3" w:rsidRPr="006124D3" w:rsidRDefault="006124D3" w:rsidP="006124D3">
            <w:pPr>
              <w:spacing w:line="276" w:lineRule="auto"/>
              <w:rPr>
                <w:rFonts w:cs="Arial"/>
                <w:sz w:val="22"/>
                <w:szCs w:val="22"/>
              </w:rPr>
            </w:pPr>
            <w:r w:rsidRPr="006124D3">
              <w:rPr>
                <w:rFonts w:cs="Arial"/>
                <w:sz w:val="22"/>
                <w:szCs w:val="22"/>
              </w:rPr>
              <w:t>Who can use the library?</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t>Alumni, on production of evidence of having completed an FE or HE course with LC or predecessor institutions, and if in good standing with the library</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t>Honorary external borrowers - this group includes:</w:t>
            </w:r>
            <w:r w:rsidRPr="006124D3">
              <w:rPr>
                <w:rFonts w:ascii="Arial" w:hAnsi="Arial" w:cs="Arial"/>
              </w:rPr>
              <w:br/>
              <w:t>Fellows of LC and predecessor institutions</w:t>
            </w:r>
            <w:r w:rsidRPr="006124D3">
              <w:rPr>
                <w:rFonts w:ascii="Arial" w:hAnsi="Arial" w:cs="Arial"/>
              </w:rPr>
              <w:br/>
              <w:t>Members of staff who have retired in post. This honour would be granted on application to, and approval by, the Principal, in conjunction with the Library Manager.</w:t>
            </w:r>
            <w:r w:rsidRPr="006124D3">
              <w:rPr>
                <w:rFonts w:ascii="Arial" w:hAnsi="Arial" w:cs="Arial"/>
              </w:rPr>
              <w:br/>
              <w:t>Other people in exceptional circumstances, to be granted by the Principal and the Library Manager</w:t>
            </w:r>
          </w:p>
          <w:p w:rsidR="006124D3" w:rsidRPr="006124D3" w:rsidRDefault="006124D3" w:rsidP="006124D3">
            <w:pPr>
              <w:pStyle w:val="ListParagraph"/>
              <w:numPr>
                <w:ilvl w:val="0"/>
                <w:numId w:val="14"/>
              </w:numPr>
              <w:spacing w:after="200" w:line="276" w:lineRule="auto"/>
              <w:contextualSpacing/>
              <w:rPr>
                <w:rFonts w:ascii="Arial" w:hAnsi="Arial" w:cs="Arial"/>
              </w:rPr>
            </w:pPr>
            <w:proofErr w:type="spellStart"/>
            <w:r w:rsidRPr="006124D3">
              <w:rPr>
                <w:rFonts w:ascii="Arial" w:hAnsi="Arial" w:cs="Arial"/>
              </w:rPr>
              <w:t>Sconul</w:t>
            </w:r>
            <w:proofErr w:type="spellEnd"/>
            <w:r w:rsidRPr="006124D3">
              <w:rPr>
                <w:rFonts w:ascii="Arial" w:hAnsi="Arial" w:cs="Arial"/>
              </w:rPr>
              <w:t xml:space="preserve"> users – This national scheme allows HE students to access to most HE libraries in the country. LC students benefit from being able to use other libraries and in return students from other universities and colleges are given access to LC library.</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lastRenderedPageBreak/>
              <w:t xml:space="preserve">Jazz researchers – most academic researchers can come in via </w:t>
            </w:r>
            <w:proofErr w:type="spellStart"/>
            <w:r w:rsidRPr="006124D3">
              <w:rPr>
                <w:rFonts w:ascii="Arial" w:hAnsi="Arial" w:cs="Arial"/>
              </w:rPr>
              <w:t>Sconul</w:t>
            </w:r>
            <w:proofErr w:type="spellEnd"/>
            <w:r w:rsidRPr="006124D3">
              <w:rPr>
                <w:rFonts w:ascii="Arial" w:hAnsi="Arial" w:cs="Arial"/>
              </w:rPr>
              <w:t>, but any that are not attached to a university or college would need to provide evidence of their research interests.</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t>Sixth formers and FE students studying music, on receipt of a letter from their school/college.</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t>Yorkshire Young Musicians studying at LC</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t>Parents of Junior LC members are granted access, the expectation being that they are borrowing to support their child.</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t>Members of the public</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t>Orchestras, choirs and wind bands</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t>Big bands interested in the manuscript score collection</w:t>
            </w:r>
          </w:p>
          <w:p w:rsidR="006124D3" w:rsidRPr="006124D3" w:rsidRDefault="006124D3" w:rsidP="006124D3">
            <w:pPr>
              <w:pStyle w:val="ListParagraph"/>
              <w:numPr>
                <w:ilvl w:val="0"/>
                <w:numId w:val="14"/>
              </w:numPr>
              <w:spacing w:after="200" w:line="276" w:lineRule="auto"/>
              <w:contextualSpacing/>
              <w:rPr>
                <w:rFonts w:ascii="Arial" w:hAnsi="Arial" w:cs="Arial"/>
              </w:rPr>
            </w:pPr>
            <w:r w:rsidRPr="006124D3">
              <w:rPr>
                <w:rFonts w:ascii="Arial" w:hAnsi="Arial" w:cs="Arial"/>
              </w:rPr>
              <w:t>No children under 16 will be admitted unless they are enrolled on an LC course or YYM.</w:t>
            </w:r>
          </w:p>
          <w:p w:rsidR="006124D3" w:rsidRPr="006124D3" w:rsidRDefault="006124D3" w:rsidP="006124D3">
            <w:pPr>
              <w:pStyle w:val="ListParagraph"/>
              <w:spacing w:after="200" w:line="276" w:lineRule="auto"/>
              <w:ind w:left="0"/>
              <w:contextualSpacing/>
              <w:rPr>
                <w:rFonts w:ascii="Arial" w:eastAsia="Times New Roman" w:hAnsi="Arial" w:cs="Arial"/>
              </w:rPr>
            </w:pPr>
            <w:r w:rsidRPr="006124D3">
              <w:rPr>
                <w:rFonts w:ascii="Arial" w:eastAsia="Times New Roman" w:hAnsi="Arial" w:cs="Arial"/>
              </w:rPr>
              <w:t>When can they use the library?</w:t>
            </w:r>
          </w:p>
          <w:p w:rsidR="006124D3" w:rsidRPr="006124D3" w:rsidRDefault="006124D3" w:rsidP="006124D3">
            <w:pPr>
              <w:pStyle w:val="ListParagraph"/>
              <w:numPr>
                <w:ilvl w:val="0"/>
                <w:numId w:val="15"/>
              </w:numPr>
              <w:spacing w:after="200" w:line="276" w:lineRule="auto"/>
              <w:contextualSpacing/>
              <w:rPr>
                <w:rFonts w:ascii="Arial" w:hAnsi="Arial" w:cs="Arial"/>
              </w:rPr>
            </w:pPr>
            <w:r w:rsidRPr="006124D3">
              <w:rPr>
                <w:rFonts w:ascii="Arial" w:hAnsi="Arial" w:cs="Arial"/>
              </w:rPr>
              <w:t>Normal opening hours, as advertised on the website</w:t>
            </w:r>
          </w:p>
          <w:p w:rsidR="006124D3" w:rsidRPr="006124D3" w:rsidRDefault="006124D3" w:rsidP="006124D3">
            <w:pPr>
              <w:pStyle w:val="ListParagraph"/>
              <w:numPr>
                <w:ilvl w:val="0"/>
                <w:numId w:val="15"/>
              </w:numPr>
              <w:spacing w:after="200" w:line="276" w:lineRule="auto"/>
              <w:contextualSpacing/>
              <w:rPr>
                <w:rFonts w:asciiTheme="minorHAnsi" w:hAnsiTheme="minorHAnsi" w:cstheme="minorHAnsi"/>
              </w:rPr>
            </w:pPr>
            <w:r w:rsidRPr="006124D3">
              <w:rPr>
                <w:rFonts w:ascii="Arial" w:hAnsi="Arial" w:cs="Arial"/>
              </w:rPr>
              <w:t>No admittance for individual members during induction and examination weeks, as advertised (approx. 7 weeks a year)</w:t>
            </w:r>
          </w:p>
          <w:p w:rsidR="006124D3" w:rsidRPr="006124D3" w:rsidRDefault="006124D3" w:rsidP="006124D3">
            <w:pPr>
              <w:pStyle w:val="Heading3"/>
              <w:rPr>
                <w:rFonts w:ascii="Arial" w:hAnsi="Arial" w:cs="Arial"/>
                <w:color w:val="auto"/>
                <w:sz w:val="22"/>
                <w:szCs w:val="22"/>
              </w:rPr>
            </w:pPr>
            <w:r w:rsidRPr="006124D3">
              <w:rPr>
                <w:rFonts w:ascii="Arial" w:hAnsi="Arial" w:cs="Arial"/>
                <w:color w:val="auto"/>
                <w:sz w:val="22"/>
                <w:szCs w:val="22"/>
              </w:rPr>
              <w:t>Individual Membership Fees</w:t>
            </w:r>
          </w:p>
          <w:p w:rsidR="006124D3" w:rsidRPr="006124D3" w:rsidRDefault="006124D3" w:rsidP="006124D3">
            <w:pPr>
              <w:pStyle w:val="ListParagraph"/>
              <w:spacing w:line="276" w:lineRule="auto"/>
              <w:ind w:left="0"/>
              <w:rPr>
                <w:rFonts w:ascii="Arial" w:hAnsi="Arial" w:cs="Arial"/>
              </w:rPr>
            </w:pPr>
          </w:p>
          <w:tbl>
            <w:tblPr>
              <w:tblStyle w:val="TableGrid"/>
              <w:tblW w:w="0" w:type="auto"/>
              <w:tblLook w:val="04A0" w:firstRow="1" w:lastRow="0" w:firstColumn="1" w:lastColumn="0" w:noHBand="0" w:noVBand="1"/>
            </w:tblPr>
            <w:tblGrid>
              <w:gridCol w:w="3930"/>
              <w:gridCol w:w="1473"/>
              <w:gridCol w:w="2673"/>
            </w:tblGrid>
            <w:tr w:rsidR="006124D3" w:rsidRPr="006124D3" w:rsidTr="00EF5DF0">
              <w:tc>
                <w:tcPr>
                  <w:tcW w:w="4841" w:type="dxa"/>
                </w:tcPr>
                <w:p w:rsidR="006124D3" w:rsidRPr="006124D3" w:rsidRDefault="006124D3" w:rsidP="006124D3">
                  <w:pPr>
                    <w:pStyle w:val="ListParagraph"/>
                    <w:spacing w:line="276" w:lineRule="auto"/>
                    <w:ind w:left="0"/>
                    <w:rPr>
                      <w:rFonts w:ascii="Arial" w:hAnsi="Arial" w:cs="Arial"/>
                    </w:rPr>
                  </w:pPr>
                </w:p>
              </w:tc>
              <w:tc>
                <w:tcPr>
                  <w:tcW w:w="1559" w:type="dxa"/>
                </w:tcPr>
                <w:p w:rsidR="006124D3" w:rsidRPr="006124D3" w:rsidRDefault="006124D3" w:rsidP="006124D3">
                  <w:pPr>
                    <w:pStyle w:val="ListParagraph"/>
                    <w:spacing w:line="276" w:lineRule="auto"/>
                    <w:ind w:left="0"/>
                    <w:rPr>
                      <w:rFonts w:ascii="Arial" w:hAnsi="Arial" w:cs="Arial"/>
                    </w:rPr>
                  </w:pPr>
                  <w:r w:rsidRPr="006124D3">
                    <w:rPr>
                      <w:rFonts w:ascii="Arial" w:hAnsi="Arial" w:cs="Arial"/>
                    </w:rPr>
                    <w:t>Reference</w:t>
                  </w:r>
                </w:p>
              </w:tc>
              <w:tc>
                <w:tcPr>
                  <w:tcW w:w="3118" w:type="dxa"/>
                </w:tcPr>
                <w:p w:rsidR="006124D3" w:rsidRPr="006124D3" w:rsidRDefault="006124D3" w:rsidP="006124D3">
                  <w:pPr>
                    <w:pStyle w:val="ListParagraph"/>
                    <w:spacing w:line="276" w:lineRule="auto"/>
                    <w:ind w:left="0"/>
                    <w:rPr>
                      <w:rFonts w:ascii="Arial" w:hAnsi="Arial" w:cs="Arial"/>
                    </w:rPr>
                  </w:pPr>
                  <w:r w:rsidRPr="006124D3">
                    <w:rPr>
                      <w:rFonts w:ascii="Arial" w:hAnsi="Arial" w:cs="Arial"/>
                    </w:rPr>
                    <w:t>Standard Membership</w:t>
                  </w:r>
                </w:p>
              </w:tc>
            </w:tr>
            <w:tr w:rsidR="006124D3" w:rsidRPr="006124D3" w:rsidTr="00EF5DF0">
              <w:tc>
                <w:tcPr>
                  <w:tcW w:w="4841" w:type="dxa"/>
                </w:tcPr>
                <w:p w:rsidR="006124D3" w:rsidRPr="006124D3" w:rsidRDefault="006124D3" w:rsidP="006124D3">
                  <w:pPr>
                    <w:spacing w:line="276" w:lineRule="auto"/>
                    <w:rPr>
                      <w:rFonts w:cs="Arial"/>
                      <w:sz w:val="22"/>
                      <w:szCs w:val="22"/>
                    </w:rPr>
                  </w:pPr>
                  <w:r w:rsidRPr="006124D3">
                    <w:rPr>
                      <w:rFonts w:cs="Arial"/>
                      <w:sz w:val="22"/>
                      <w:szCs w:val="22"/>
                    </w:rPr>
                    <w:t xml:space="preserve">Alumni </w:t>
                  </w:r>
                </w:p>
              </w:tc>
              <w:tc>
                <w:tcPr>
                  <w:tcW w:w="1559" w:type="dxa"/>
                </w:tcPr>
                <w:p w:rsidR="006124D3" w:rsidRPr="006124D3" w:rsidRDefault="006124D3" w:rsidP="006124D3">
                  <w:pPr>
                    <w:spacing w:line="276" w:lineRule="auto"/>
                    <w:rPr>
                      <w:rFonts w:cs="Arial"/>
                      <w:sz w:val="22"/>
                      <w:szCs w:val="22"/>
                    </w:rPr>
                  </w:pPr>
                  <w:r w:rsidRPr="006124D3">
                    <w:rPr>
                      <w:rFonts w:cs="Arial"/>
                      <w:sz w:val="22"/>
                      <w:szCs w:val="22"/>
                    </w:rPr>
                    <w:t>Free</w:t>
                  </w:r>
                </w:p>
              </w:tc>
              <w:tc>
                <w:tcPr>
                  <w:tcW w:w="3118" w:type="dxa"/>
                </w:tcPr>
                <w:p w:rsidR="006124D3" w:rsidRPr="006124D3" w:rsidRDefault="006124D3" w:rsidP="006124D3">
                  <w:pPr>
                    <w:spacing w:line="276" w:lineRule="auto"/>
                    <w:rPr>
                      <w:rFonts w:cs="Arial"/>
                      <w:sz w:val="22"/>
                      <w:szCs w:val="22"/>
                    </w:rPr>
                  </w:pPr>
                  <w:r w:rsidRPr="006124D3">
                    <w:rPr>
                      <w:rFonts w:cs="Arial"/>
                      <w:sz w:val="22"/>
                      <w:szCs w:val="22"/>
                    </w:rPr>
                    <w:t>£30</w:t>
                  </w:r>
                </w:p>
              </w:tc>
            </w:tr>
            <w:tr w:rsidR="006124D3" w:rsidRPr="006124D3" w:rsidTr="00EF5DF0">
              <w:tc>
                <w:tcPr>
                  <w:tcW w:w="4841" w:type="dxa"/>
                </w:tcPr>
                <w:p w:rsidR="006124D3" w:rsidRPr="006124D3" w:rsidRDefault="006124D3" w:rsidP="006124D3">
                  <w:pPr>
                    <w:spacing w:line="276" w:lineRule="auto"/>
                    <w:rPr>
                      <w:rFonts w:cs="Arial"/>
                      <w:sz w:val="22"/>
                      <w:szCs w:val="22"/>
                    </w:rPr>
                  </w:pPr>
                  <w:r w:rsidRPr="006124D3">
                    <w:rPr>
                      <w:rFonts w:cs="Arial"/>
                      <w:sz w:val="22"/>
                      <w:szCs w:val="22"/>
                    </w:rPr>
                    <w:t>Honorary External Borrowers</w:t>
                  </w:r>
                </w:p>
              </w:tc>
              <w:tc>
                <w:tcPr>
                  <w:tcW w:w="1559" w:type="dxa"/>
                </w:tcPr>
                <w:p w:rsidR="006124D3" w:rsidRPr="006124D3" w:rsidRDefault="006124D3" w:rsidP="006124D3">
                  <w:pPr>
                    <w:spacing w:line="276" w:lineRule="auto"/>
                    <w:rPr>
                      <w:rFonts w:cs="Arial"/>
                      <w:sz w:val="22"/>
                      <w:szCs w:val="22"/>
                    </w:rPr>
                  </w:pPr>
                  <w:r w:rsidRPr="006124D3">
                    <w:rPr>
                      <w:rFonts w:cs="Arial"/>
                      <w:sz w:val="22"/>
                      <w:szCs w:val="22"/>
                    </w:rPr>
                    <w:t>Free</w:t>
                  </w:r>
                </w:p>
              </w:tc>
              <w:tc>
                <w:tcPr>
                  <w:tcW w:w="3118" w:type="dxa"/>
                </w:tcPr>
                <w:p w:rsidR="006124D3" w:rsidRPr="006124D3" w:rsidRDefault="006124D3" w:rsidP="006124D3">
                  <w:pPr>
                    <w:spacing w:line="276" w:lineRule="auto"/>
                    <w:rPr>
                      <w:rFonts w:cs="Arial"/>
                      <w:sz w:val="22"/>
                      <w:szCs w:val="22"/>
                    </w:rPr>
                  </w:pPr>
                  <w:r w:rsidRPr="006124D3">
                    <w:rPr>
                      <w:rFonts w:cs="Arial"/>
                      <w:sz w:val="22"/>
                      <w:szCs w:val="22"/>
                    </w:rPr>
                    <w:t>Free</w:t>
                  </w:r>
                </w:p>
              </w:tc>
            </w:tr>
            <w:tr w:rsidR="006124D3" w:rsidRPr="006124D3" w:rsidTr="00EF5DF0">
              <w:tc>
                <w:tcPr>
                  <w:tcW w:w="4841" w:type="dxa"/>
                </w:tcPr>
                <w:p w:rsidR="006124D3" w:rsidRPr="006124D3" w:rsidRDefault="006124D3" w:rsidP="006124D3">
                  <w:pPr>
                    <w:spacing w:line="276" w:lineRule="auto"/>
                    <w:rPr>
                      <w:rFonts w:cs="Arial"/>
                      <w:sz w:val="22"/>
                      <w:szCs w:val="22"/>
                    </w:rPr>
                  </w:pPr>
                  <w:proofErr w:type="spellStart"/>
                  <w:r w:rsidRPr="006124D3">
                    <w:rPr>
                      <w:rFonts w:cs="Arial"/>
                      <w:sz w:val="22"/>
                      <w:szCs w:val="22"/>
                    </w:rPr>
                    <w:t>Sconul</w:t>
                  </w:r>
                  <w:proofErr w:type="spellEnd"/>
                  <w:r w:rsidRPr="006124D3">
                    <w:rPr>
                      <w:rFonts w:cs="Arial"/>
                      <w:sz w:val="22"/>
                      <w:szCs w:val="22"/>
                    </w:rPr>
                    <w:t xml:space="preserve"> users</w:t>
                  </w:r>
                </w:p>
              </w:tc>
              <w:tc>
                <w:tcPr>
                  <w:tcW w:w="1559" w:type="dxa"/>
                </w:tcPr>
                <w:p w:rsidR="006124D3" w:rsidRPr="006124D3" w:rsidRDefault="006124D3" w:rsidP="006124D3">
                  <w:pPr>
                    <w:pStyle w:val="ListParagraph"/>
                    <w:spacing w:line="276" w:lineRule="auto"/>
                    <w:ind w:left="0"/>
                    <w:rPr>
                      <w:rFonts w:ascii="Arial" w:hAnsi="Arial" w:cs="Arial"/>
                    </w:rPr>
                  </w:pPr>
                  <w:r w:rsidRPr="006124D3">
                    <w:rPr>
                      <w:rFonts w:ascii="Arial" w:hAnsi="Arial" w:cs="Arial"/>
                    </w:rPr>
                    <w:t>Free</w:t>
                  </w:r>
                </w:p>
              </w:tc>
              <w:tc>
                <w:tcPr>
                  <w:tcW w:w="3118" w:type="dxa"/>
                </w:tcPr>
                <w:p w:rsidR="006124D3" w:rsidRPr="006124D3" w:rsidRDefault="006124D3" w:rsidP="006124D3">
                  <w:pPr>
                    <w:pStyle w:val="ListParagraph"/>
                    <w:spacing w:line="276" w:lineRule="auto"/>
                    <w:ind w:left="0"/>
                    <w:rPr>
                      <w:rFonts w:ascii="Arial" w:hAnsi="Arial" w:cs="Arial"/>
                    </w:rPr>
                  </w:pPr>
                  <w:r w:rsidRPr="006124D3">
                    <w:rPr>
                      <w:rFonts w:ascii="Arial" w:hAnsi="Arial" w:cs="Arial"/>
                    </w:rPr>
                    <w:t>Free if entitled</w:t>
                  </w:r>
                </w:p>
              </w:tc>
            </w:tr>
            <w:tr w:rsidR="006124D3" w:rsidRPr="006124D3" w:rsidTr="00EF5DF0">
              <w:tc>
                <w:tcPr>
                  <w:tcW w:w="4841" w:type="dxa"/>
                </w:tcPr>
                <w:p w:rsidR="006124D3" w:rsidRPr="006124D3" w:rsidRDefault="006124D3" w:rsidP="006124D3">
                  <w:pPr>
                    <w:spacing w:line="276" w:lineRule="auto"/>
                    <w:rPr>
                      <w:rFonts w:cs="Arial"/>
                      <w:sz w:val="22"/>
                      <w:szCs w:val="22"/>
                    </w:rPr>
                  </w:pPr>
                  <w:r w:rsidRPr="006124D3">
                    <w:rPr>
                      <w:rFonts w:cs="Arial"/>
                      <w:sz w:val="22"/>
                      <w:szCs w:val="22"/>
                    </w:rPr>
                    <w:t>Jazz researchers</w:t>
                  </w:r>
                </w:p>
              </w:tc>
              <w:tc>
                <w:tcPr>
                  <w:tcW w:w="1559" w:type="dxa"/>
                </w:tcPr>
                <w:p w:rsidR="006124D3" w:rsidRPr="006124D3" w:rsidRDefault="006124D3" w:rsidP="006124D3">
                  <w:pPr>
                    <w:spacing w:line="276" w:lineRule="auto"/>
                    <w:rPr>
                      <w:rFonts w:cs="Arial"/>
                      <w:sz w:val="22"/>
                      <w:szCs w:val="22"/>
                    </w:rPr>
                  </w:pPr>
                  <w:r w:rsidRPr="006124D3">
                    <w:rPr>
                      <w:rFonts w:cs="Arial"/>
                      <w:sz w:val="22"/>
                      <w:szCs w:val="22"/>
                    </w:rPr>
                    <w:t>Free</w:t>
                  </w:r>
                </w:p>
              </w:tc>
              <w:tc>
                <w:tcPr>
                  <w:tcW w:w="3118" w:type="dxa"/>
                </w:tcPr>
                <w:p w:rsidR="006124D3" w:rsidRPr="006124D3" w:rsidRDefault="006124D3" w:rsidP="006124D3">
                  <w:pPr>
                    <w:spacing w:line="276" w:lineRule="auto"/>
                    <w:rPr>
                      <w:rFonts w:cs="Arial"/>
                      <w:sz w:val="22"/>
                      <w:szCs w:val="22"/>
                    </w:rPr>
                  </w:pPr>
                  <w:r w:rsidRPr="006124D3">
                    <w:rPr>
                      <w:rFonts w:cs="Arial"/>
                      <w:sz w:val="22"/>
                      <w:szCs w:val="22"/>
                    </w:rPr>
                    <w:t>£90</w:t>
                  </w:r>
                </w:p>
              </w:tc>
            </w:tr>
            <w:tr w:rsidR="006124D3" w:rsidRPr="006124D3" w:rsidTr="00EF5DF0">
              <w:tc>
                <w:tcPr>
                  <w:tcW w:w="4841" w:type="dxa"/>
                </w:tcPr>
                <w:p w:rsidR="006124D3" w:rsidRPr="006124D3" w:rsidRDefault="006124D3" w:rsidP="006124D3">
                  <w:pPr>
                    <w:spacing w:line="276" w:lineRule="auto"/>
                    <w:rPr>
                      <w:rFonts w:cs="Arial"/>
                      <w:sz w:val="22"/>
                      <w:szCs w:val="22"/>
                    </w:rPr>
                  </w:pPr>
                  <w:r w:rsidRPr="006124D3">
                    <w:rPr>
                      <w:rFonts w:cs="Arial"/>
                      <w:sz w:val="22"/>
                      <w:szCs w:val="22"/>
                    </w:rPr>
                    <w:t>Sixth formers and FE students studying music</w:t>
                  </w:r>
                </w:p>
              </w:tc>
              <w:tc>
                <w:tcPr>
                  <w:tcW w:w="1559" w:type="dxa"/>
                </w:tcPr>
                <w:p w:rsidR="006124D3" w:rsidRPr="006124D3" w:rsidRDefault="006124D3" w:rsidP="006124D3">
                  <w:pPr>
                    <w:spacing w:line="276" w:lineRule="auto"/>
                    <w:rPr>
                      <w:rFonts w:cs="Arial"/>
                      <w:sz w:val="22"/>
                      <w:szCs w:val="22"/>
                    </w:rPr>
                  </w:pPr>
                  <w:r w:rsidRPr="006124D3">
                    <w:rPr>
                      <w:rFonts w:cs="Arial"/>
                      <w:sz w:val="22"/>
                      <w:szCs w:val="22"/>
                    </w:rPr>
                    <w:t>Free</w:t>
                  </w:r>
                </w:p>
              </w:tc>
              <w:tc>
                <w:tcPr>
                  <w:tcW w:w="3118" w:type="dxa"/>
                </w:tcPr>
                <w:p w:rsidR="006124D3" w:rsidRPr="006124D3" w:rsidRDefault="006124D3" w:rsidP="006124D3">
                  <w:pPr>
                    <w:spacing w:line="276" w:lineRule="auto"/>
                    <w:rPr>
                      <w:rFonts w:cs="Arial"/>
                      <w:sz w:val="22"/>
                      <w:szCs w:val="22"/>
                    </w:rPr>
                  </w:pPr>
                  <w:r w:rsidRPr="006124D3">
                    <w:rPr>
                      <w:rFonts w:cs="Arial"/>
                      <w:sz w:val="22"/>
                      <w:szCs w:val="22"/>
                    </w:rPr>
                    <w:t>£30</w:t>
                  </w:r>
                </w:p>
              </w:tc>
            </w:tr>
            <w:tr w:rsidR="006124D3" w:rsidRPr="006124D3" w:rsidTr="00EF5DF0">
              <w:tc>
                <w:tcPr>
                  <w:tcW w:w="4841" w:type="dxa"/>
                </w:tcPr>
                <w:p w:rsidR="006124D3" w:rsidRPr="006124D3" w:rsidRDefault="006124D3" w:rsidP="006124D3">
                  <w:pPr>
                    <w:spacing w:line="276" w:lineRule="auto"/>
                    <w:rPr>
                      <w:rFonts w:cs="Arial"/>
                      <w:sz w:val="22"/>
                      <w:szCs w:val="22"/>
                      <w:highlight w:val="yellow"/>
                    </w:rPr>
                  </w:pPr>
                  <w:r w:rsidRPr="006124D3">
                    <w:rPr>
                      <w:rFonts w:cs="Arial"/>
                      <w:sz w:val="22"/>
                      <w:szCs w:val="22"/>
                    </w:rPr>
                    <w:t>Yorkshire Young Musicians studying at LC</w:t>
                  </w:r>
                </w:p>
              </w:tc>
              <w:tc>
                <w:tcPr>
                  <w:tcW w:w="1559" w:type="dxa"/>
                </w:tcPr>
                <w:p w:rsidR="006124D3" w:rsidRPr="006124D3" w:rsidRDefault="006124D3" w:rsidP="006124D3">
                  <w:pPr>
                    <w:spacing w:line="276" w:lineRule="auto"/>
                    <w:rPr>
                      <w:rFonts w:cs="Arial"/>
                      <w:sz w:val="22"/>
                      <w:szCs w:val="22"/>
                      <w:highlight w:val="yellow"/>
                    </w:rPr>
                  </w:pPr>
                  <w:r w:rsidRPr="006124D3">
                    <w:rPr>
                      <w:rFonts w:cs="Arial"/>
                      <w:sz w:val="22"/>
                      <w:szCs w:val="22"/>
                    </w:rPr>
                    <w:t>Free</w:t>
                  </w:r>
                </w:p>
              </w:tc>
              <w:tc>
                <w:tcPr>
                  <w:tcW w:w="3118" w:type="dxa"/>
                </w:tcPr>
                <w:p w:rsidR="006124D3" w:rsidRPr="006124D3" w:rsidRDefault="006124D3" w:rsidP="006124D3">
                  <w:pPr>
                    <w:spacing w:line="276" w:lineRule="auto"/>
                    <w:rPr>
                      <w:rFonts w:cs="Arial"/>
                      <w:sz w:val="22"/>
                      <w:szCs w:val="22"/>
                    </w:rPr>
                  </w:pPr>
                  <w:r w:rsidRPr="006124D3">
                    <w:rPr>
                      <w:rFonts w:cs="Arial"/>
                      <w:sz w:val="22"/>
                      <w:szCs w:val="22"/>
                    </w:rPr>
                    <w:t>£30</w:t>
                  </w:r>
                </w:p>
              </w:tc>
            </w:tr>
            <w:tr w:rsidR="006124D3" w:rsidRPr="006124D3" w:rsidTr="00EF5DF0">
              <w:tc>
                <w:tcPr>
                  <w:tcW w:w="4841" w:type="dxa"/>
                </w:tcPr>
                <w:p w:rsidR="006124D3" w:rsidRPr="006124D3" w:rsidRDefault="006124D3" w:rsidP="006124D3">
                  <w:pPr>
                    <w:spacing w:line="276" w:lineRule="auto"/>
                    <w:rPr>
                      <w:rFonts w:cs="Arial"/>
                      <w:sz w:val="22"/>
                      <w:szCs w:val="22"/>
                    </w:rPr>
                  </w:pPr>
                  <w:r w:rsidRPr="006124D3">
                    <w:rPr>
                      <w:rFonts w:cs="Arial"/>
                      <w:sz w:val="22"/>
                      <w:szCs w:val="22"/>
                    </w:rPr>
                    <w:t>Parents of SMS students</w:t>
                  </w:r>
                </w:p>
              </w:tc>
              <w:tc>
                <w:tcPr>
                  <w:tcW w:w="1559" w:type="dxa"/>
                </w:tcPr>
                <w:p w:rsidR="006124D3" w:rsidRPr="006124D3" w:rsidRDefault="006124D3" w:rsidP="006124D3">
                  <w:pPr>
                    <w:spacing w:line="276" w:lineRule="auto"/>
                    <w:rPr>
                      <w:rFonts w:cs="Arial"/>
                      <w:sz w:val="22"/>
                      <w:szCs w:val="22"/>
                    </w:rPr>
                  </w:pPr>
                  <w:r w:rsidRPr="006124D3">
                    <w:rPr>
                      <w:rFonts w:cs="Arial"/>
                      <w:sz w:val="22"/>
                      <w:szCs w:val="22"/>
                    </w:rPr>
                    <w:t>Free</w:t>
                  </w:r>
                </w:p>
              </w:tc>
              <w:tc>
                <w:tcPr>
                  <w:tcW w:w="3118" w:type="dxa"/>
                </w:tcPr>
                <w:p w:rsidR="006124D3" w:rsidRPr="006124D3" w:rsidRDefault="006124D3" w:rsidP="006124D3">
                  <w:pPr>
                    <w:spacing w:line="276" w:lineRule="auto"/>
                    <w:rPr>
                      <w:rFonts w:cs="Arial"/>
                      <w:sz w:val="22"/>
                      <w:szCs w:val="22"/>
                    </w:rPr>
                  </w:pPr>
                  <w:r w:rsidRPr="006124D3">
                    <w:rPr>
                      <w:rFonts w:cs="Arial"/>
                      <w:sz w:val="22"/>
                      <w:szCs w:val="22"/>
                    </w:rPr>
                    <w:t>Free, on production of child’s ID card and personal ID</w:t>
                  </w:r>
                </w:p>
              </w:tc>
            </w:tr>
            <w:tr w:rsidR="006124D3" w:rsidRPr="006124D3" w:rsidTr="00EF5DF0">
              <w:tc>
                <w:tcPr>
                  <w:tcW w:w="4841" w:type="dxa"/>
                </w:tcPr>
                <w:p w:rsidR="006124D3" w:rsidRPr="006124D3" w:rsidRDefault="006124D3" w:rsidP="006124D3">
                  <w:pPr>
                    <w:spacing w:line="276" w:lineRule="auto"/>
                    <w:rPr>
                      <w:rFonts w:cs="Arial"/>
                      <w:sz w:val="22"/>
                      <w:szCs w:val="22"/>
                    </w:rPr>
                  </w:pPr>
                  <w:r w:rsidRPr="006124D3">
                    <w:rPr>
                      <w:rFonts w:cs="Arial"/>
                      <w:sz w:val="22"/>
                      <w:szCs w:val="22"/>
                    </w:rPr>
                    <w:t>Members of the public</w:t>
                  </w:r>
                </w:p>
              </w:tc>
              <w:tc>
                <w:tcPr>
                  <w:tcW w:w="1559" w:type="dxa"/>
                </w:tcPr>
                <w:p w:rsidR="006124D3" w:rsidRPr="006124D3" w:rsidRDefault="006124D3" w:rsidP="006124D3">
                  <w:pPr>
                    <w:spacing w:line="276" w:lineRule="auto"/>
                    <w:rPr>
                      <w:rFonts w:cs="Arial"/>
                      <w:sz w:val="22"/>
                      <w:szCs w:val="22"/>
                    </w:rPr>
                  </w:pPr>
                  <w:r w:rsidRPr="006124D3">
                    <w:rPr>
                      <w:rFonts w:cs="Arial"/>
                      <w:sz w:val="22"/>
                      <w:szCs w:val="22"/>
                    </w:rPr>
                    <w:t>£15</w:t>
                  </w:r>
                </w:p>
              </w:tc>
              <w:tc>
                <w:tcPr>
                  <w:tcW w:w="3118" w:type="dxa"/>
                </w:tcPr>
                <w:p w:rsidR="006124D3" w:rsidRPr="006124D3" w:rsidRDefault="006124D3" w:rsidP="006124D3">
                  <w:pPr>
                    <w:spacing w:line="276" w:lineRule="auto"/>
                    <w:rPr>
                      <w:rFonts w:cs="Arial"/>
                      <w:sz w:val="22"/>
                      <w:szCs w:val="22"/>
                    </w:rPr>
                  </w:pPr>
                  <w:r w:rsidRPr="006124D3">
                    <w:rPr>
                      <w:rFonts w:cs="Arial"/>
                      <w:sz w:val="22"/>
                      <w:szCs w:val="22"/>
                    </w:rPr>
                    <w:t>£90</w:t>
                  </w:r>
                </w:p>
              </w:tc>
            </w:tr>
          </w:tbl>
          <w:p w:rsidR="006124D3" w:rsidRPr="006124D3" w:rsidRDefault="006124D3" w:rsidP="006124D3">
            <w:pPr>
              <w:pStyle w:val="Heading3"/>
              <w:rPr>
                <w:rFonts w:ascii="Arial" w:hAnsi="Arial" w:cs="Arial"/>
                <w:sz w:val="22"/>
                <w:szCs w:val="22"/>
              </w:rPr>
            </w:pPr>
            <w:r w:rsidRPr="006124D3">
              <w:rPr>
                <w:rFonts w:ascii="Arial" w:hAnsi="Arial" w:cs="Arial"/>
                <w:sz w:val="22"/>
                <w:szCs w:val="22"/>
              </w:rPr>
              <w:br w:type="page"/>
            </w:r>
          </w:p>
          <w:p w:rsidR="006124D3" w:rsidRPr="006124D3" w:rsidRDefault="006124D3" w:rsidP="006124D3">
            <w:pPr>
              <w:spacing w:line="276" w:lineRule="auto"/>
              <w:rPr>
                <w:rFonts w:cs="Arial"/>
                <w:sz w:val="22"/>
                <w:szCs w:val="22"/>
              </w:rPr>
            </w:pPr>
            <w:r w:rsidRPr="006124D3">
              <w:rPr>
                <w:rFonts w:cs="Arial"/>
                <w:sz w:val="22"/>
                <w:szCs w:val="22"/>
              </w:rPr>
              <w:t>What does the membership fee entitle them to?</w:t>
            </w:r>
          </w:p>
          <w:p w:rsidR="006124D3" w:rsidRPr="006124D3" w:rsidRDefault="006124D3" w:rsidP="006124D3">
            <w:pPr>
              <w:pStyle w:val="ListParagraph"/>
              <w:numPr>
                <w:ilvl w:val="0"/>
                <w:numId w:val="16"/>
              </w:numPr>
              <w:spacing w:after="200" w:line="276" w:lineRule="auto"/>
              <w:contextualSpacing/>
              <w:rPr>
                <w:rFonts w:ascii="Arial" w:hAnsi="Arial" w:cs="Arial"/>
              </w:rPr>
            </w:pPr>
            <w:r w:rsidRPr="006124D3">
              <w:rPr>
                <w:rFonts w:ascii="Arial" w:hAnsi="Arial" w:cs="Arial"/>
              </w:rPr>
              <w:t>Loan of up to 10 standard loan items at one time, comprising a maximum of 5 books, 5 scores or 10 CDs</w:t>
            </w:r>
          </w:p>
          <w:p w:rsidR="006124D3" w:rsidRPr="006124D3" w:rsidRDefault="006124D3" w:rsidP="006124D3">
            <w:pPr>
              <w:pStyle w:val="ListParagraph"/>
              <w:numPr>
                <w:ilvl w:val="0"/>
                <w:numId w:val="16"/>
              </w:numPr>
              <w:spacing w:after="200" w:line="276" w:lineRule="auto"/>
              <w:contextualSpacing/>
              <w:rPr>
                <w:rFonts w:ascii="Arial" w:hAnsi="Arial" w:cs="Arial"/>
              </w:rPr>
            </w:pPr>
            <w:r w:rsidRPr="006124D3">
              <w:rPr>
                <w:rFonts w:ascii="Arial" w:hAnsi="Arial" w:cs="Arial"/>
              </w:rPr>
              <w:t>The use of listening, reference and study facilities in the library</w:t>
            </w:r>
          </w:p>
          <w:p w:rsidR="006124D3" w:rsidRPr="006124D3" w:rsidRDefault="006124D3" w:rsidP="006124D3">
            <w:pPr>
              <w:pStyle w:val="ListParagraph"/>
              <w:numPr>
                <w:ilvl w:val="0"/>
                <w:numId w:val="16"/>
              </w:numPr>
              <w:spacing w:after="200" w:line="276" w:lineRule="auto"/>
              <w:contextualSpacing/>
              <w:rPr>
                <w:rFonts w:ascii="Arial" w:hAnsi="Arial" w:cs="Arial"/>
              </w:rPr>
            </w:pPr>
            <w:r w:rsidRPr="006124D3">
              <w:rPr>
                <w:rFonts w:ascii="Arial" w:hAnsi="Arial" w:cs="Arial"/>
              </w:rPr>
              <w:t>An access card for the library</w:t>
            </w:r>
          </w:p>
          <w:p w:rsidR="006124D3" w:rsidRPr="006124D3" w:rsidRDefault="006124D3" w:rsidP="006124D3">
            <w:pPr>
              <w:pStyle w:val="ListParagraph"/>
              <w:numPr>
                <w:ilvl w:val="0"/>
                <w:numId w:val="16"/>
              </w:numPr>
              <w:spacing w:after="200" w:line="276" w:lineRule="auto"/>
              <w:contextualSpacing/>
              <w:rPr>
                <w:rFonts w:ascii="Arial" w:hAnsi="Arial" w:cs="Arial"/>
              </w:rPr>
            </w:pPr>
            <w:r w:rsidRPr="006124D3">
              <w:rPr>
                <w:rFonts w:ascii="Arial" w:hAnsi="Arial" w:cs="Arial"/>
              </w:rPr>
              <w:t>Courtesy reminder / overdue notices sent by email</w:t>
            </w:r>
          </w:p>
          <w:p w:rsidR="006124D3" w:rsidRPr="006124D3" w:rsidRDefault="006124D3" w:rsidP="006124D3">
            <w:pPr>
              <w:pStyle w:val="ListParagraph"/>
              <w:numPr>
                <w:ilvl w:val="0"/>
                <w:numId w:val="16"/>
              </w:numPr>
              <w:spacing w:after="200" w:line="276" w:lineRule="auto"/>
              <w:contextualSpacing/>
              <w:rPr>
                <w:rFonts w:ascii="Arial" w:hAnsi="Arial" w:cs="Arial"/>
              </w:rPr>
            </w:pPr>
            <w:r w:rsidRPr="006124D3">
              <w:rPr>
                <w:rFonts w:ascii="Arial" w:hAnsi="Arial" w:cs="Arial"/>
              </w:rPr>
              <w:t>Telephone and email renewals service</w:t>
            </w:r>
          </w:p>
          <w:p w:rsidR="006124D3" w:rsidRPr="006124D3" w:rsidRDefault="006124D3" w:rsidP="006124D3">
            <w:pPr>
              <w:spacing w:line="276" w:lineRule="auto"/>
              <w:rPr>
                <w:rFonts w:cs="Arial"/>
                <w:sz w:val="22"/>
                <w:szCs w:val="22"/>
              </w:rPr>
            </w:pPr>
            <w:r w:rsidRPr="006124D3">
              <w:rPr>
                <w:rFonts w:cs="Arial"/>
                <w:sz w:val="22"/>
                <w:szCs w:val="22"/>
              </w:rPr>
              <w:t>What are they not permitted to do?</w:t>
            </w:r>
          </w:p>
          <w:p w:rsidR="006124D3" w:rsidRPr="006124D3" w:rsidRDefault="006124D3" w:rsidP="006124D3">
            <w:pPr>
              <w:pStyle w:val="ListParagraph"/>
              <w:numPr>
                <w:ilvl w:val="0"/>
                <w:numId w:val="17"/>
              </w:numPr>
              <w:spacing w:after="200" w:line="276" w:lineRule="auto"/>
              <w:contextualSpacing/>
              <w:rPr>
                <w:rFonts w:ascii="Arial" w:hAnsi="Arial" w:cs="Arial"/>
              </w:rPr>
            </w:pPr>
            <w:r w:rsidRPr="006124D3">
              <w:rPr>
                <w:rFonts w:ascii="Arial" w:hAnsi="Arial" w:cs="Arial"/>
              </w:rPr>
              <w:t>Standard members may not borrow large ensemble music</w:t>
            </w:r>
          </w:p>
          <w:p w:rsidR="006124D3" w:rsidRPr="006124D3" w:rsidRDefault="006124D3" w:rsidP="006124D3">
            <w:pPr>
              <w:pStyle w:val="ListParagraph"/>
              <w:numPr>
                <w:ilvl w:val="0"/>
                <w:numId w:val="17"/>
              </w:numPr>
              <w:spacing w:after="200" w:line="276" w:lineRule="auto"/>
              <w:contextualSpacing/>
              <w:rPr>
                <w:rFonts w:ascii="Arial" w:hAnsi="Arial" w:cs="Arial"/>
              </w:rPr>
            </w:pPr>
            <w:r w:rsidRPr="006124D3">
              <w:rPr>
                <w:rFonts w:ascii="Arial" w:hAnsi="Arial" w:cs="Arial"/>
              </w:rPr>
              <w:t>Core texts and DVDs may not be borrowed</w:t>
            </w:r>
          </w:p>
          <w:p w:rsidR="006124D3" w:rsidRPr="006124D3" w:rsidRDefault="006124D3" w:rsidP="006124D3">
            <w:pPr>
              <w:pStyle w:val="ListParagraph"/>
              <w:numPr>
                <w:ilvl w:val="0"/>
                <w:numId w:val="17"/>
              </w:numPr>
              <w:spacing w:after="200" w:line="276" w:lineRule="auto"/>
              <w:contextualSpacing/>
              <w:rPr>
                <w:rFonts w:ascii="Arial" w:hAnsi="Arial" w:cs="Arial"/>
              </w:rPr>
            </w:pPr>
            <w:r w:rsidRPr="006124D3">
              <w:rPr>
                <w:rFonts w:ascii="Arial" w:hAnsi="Arial" w:cs="Arial"/>
              </w:rPr>
              <w:t>They may not make reservations or request new stock</w:t>
            </w:r>
          </w:p>
          <w:p w:rsidR="006124D3" w:rsidRDefault="006124D3" w:rsidP="006124D3">
            <w:pPr>
              <w:pStyle w:val="ListParagraph"/>
              <w:numPr>
                <w:ilvl w:val="0"/>
                <w:numId w:val="17"/>
              </w:numPr>
              <w:spacing w:after="200" w:line="276" w:lineRule="auto"/>
              <w:contextualSpacing/>
              <w:rPr>
                <w:rFonts w:ascii="Arial" w:hAnsi="Arial" w:cs="Arial"/>
              </w:rPr>
            </w:pPr>
            <w:r w:rsidRPr="006124D3">
              <w:rPr>
                <w:rFonts w:ascii="Arial" w:hAnsi="Arial" w:cs="Arial"/>
              </w:rPr>
              <w:lastRenderedPageBreak/>
              <w:t>Licensing restrictions means non-LC members are not able to use our PCs or electronic resources.</w:t>
            </w:r>
          </w:p>
          <w:p w:rsidR="006124D3" w:rsidRDefault="006124D3" w:rsidP="006124D3">
            <w:pPr>
              <w:pStyle w:val="ListParagraph"/>
              <w:numPr>
                <w:ilvl w:val="0"/>
                <w:numId w:val="17"/>
              </w:numPr>
              <w:spacing w:after="200" w:line="276" w:lineRule="auto"/>
              <w:contextualSpacing/>
              <w:rPr>
                <w:rFonts w:ascii="Arial" w:hAnsi="Arial" w:cs="Arial"/>
              </w:rPr>
            </w:pPr>
            <w:r w:rsidRPr="006124D3">
              <w:rPr>
                <w:rFonts w:ascii="Arial" w:hAnsi="Arial" w:cs="Arial"/>
              </w:rPr>
              <w:t>Access any other part of LC.</w:t>
            </w:r>
          </w:p>
          <w:p w:rsidR="006124D3" w:rsidRPr="006124D3" w:rsidRDefault="006124D3" w:rsidP="006124D3">
            <w:pPr>
              <w:spacing w:line="276" w:lineRule="auto"/>
              <w:rPr>
                <w:rFonts w:cs="Arial"/>
                <w:sz w:val="22"/>
                <w:szCs w:val="22"/>
              </w:rPr>
            </w:pPr>
            <w:r w:rsidRPr="006124D3">
              <w:rPr>
                <w:rFonts w:cs="Arial"/>
                <w:sz w:val="22"/>
                <w:szCs w:val="22"/>
              </w:rPr>
              <w:t>Ensemble membership</w:t>
            </w:r>
          </w:p>
          <w:p w:rsidR="006124D3" w:rsidRPr="006124D3" w:rsidRDefault="006124D3" w:rsidP="006124D3">
            <w:pPr>
              <w:pStyle w:val="ListParagraph"/>
              <w:numPr>
                <w:ilvl w:val="0"/>
                <w:numId w:val="19"/>
              </w:numPr>
              <w:spacing w:after="200" w:line="276" w:lineRule="auto"/>
              <w:contextualSpacing/>
              <w:rPr>
                <w:rFonts w:ascii="Arial" w:eastAsia="Times New Roman" w:hAnsi="Arial" w:cs="Arial"/>
              </w:rPr>
            </w:pPr>
            <w:r w:rsidRPr="006124D3">
              <w:rPr>
                <w:rFonts w:ascii="Arial" w:eastAsia="Times New Roman" w:hAnsi="Arial" w:cs="Arial"/>
              </w:rPr>
              <w:t>All ensembles must pay a one-time £15 setup fee.</w:t>
            </w:r>
          </w:p>
          <w:p w:rsidR="006124D3" w:rsidRPr="006124D3" w:rsidRDefault="006124D3" w:rsidP="006124D3">
            <w:pPr>
              <w:pStyle w:val="ListParagraph"/>
              <w:numPr>
                <w:ilvl w:val="0"/>
                <w:numId w:val="19"/>
              </w:numPr>
              <w:spacing w:after="200" w:line="276" w:lineRule="auto"/>
              <w:contextualSpacing/>
              <w:rPr>
                <w:rFonts w:ascii="Arial" w:eastAsia="Times New Roman" w:hAnsi="Arial" w:cs="Arial"/>
              </w:rPr>
            </w:pPr>
            <w:r w:rsidRPr="006124D3">
              <w:rPr>
                <w:rFonts w:ascii="Arial" w:eastAsia="Times New Roman" w:hAnsi="Arial" w:cs="Arial"/>
              </w:rPr>
              <w:t>Evidence of the ensemble’s existence must be provided, and photo ID of the ensemble librarian.</w:t>
            </w:r>
          </w:p>
          <w:p w:rsidR="006124D3" w:rsidRPr="006124D3" w:rsidRDefault="006124D3" w:rsidP="006124D3">
            <w:pPr>
              <w:pStyle w:val="ListParagraph"/>
              <w:numPr>
                <w:ilvl w:val="0"/>
                <w:numId w:val="18"/>
              </w:numPr>
              <w:spacing w:after="200" w:line="276" w:lineRule="auto"/>
              <w:contextualSpacing/>
              <w:rPr>
                <w:rFonts w:ascii="Arial" w:eastAsia="Times New Roman" w:hAnsi="Arial" w:cs="Arial"/>
              </w:rPr>
            </w:pPr>
            <w:r w:rsidRPr="006124D3">
              <w:rPr>
                <w:rFonts w:ascii="Arial" w:eastAsia="Times New Roman" w:hAnsi="Arial" w:cs="Arial"/>
              </w:rPr>
              <w:t>Loans are for four months</w:t>
            </w:r>
          </w:p>
          <w:p w:rsidR="006124D3" w:rsidRPr="006124D3" w:rsidRDefault="006124D3" w:rsidP="006124D3">
            <w:pPr>
              <w:pStyle w:val="ListParagraph"/>
              <w:numPr>
                <w:ilvl w:val="0"/>
                <w:numId w:val="18"/>
              </w:numPr>
              <w:spacing w:after="200" w:line="276" w:lineRule="auto"/>
              <w:contextualSpacing/>
              <w:rPr>
                <w:rFonts w:ascii="Arial" w:eastAsia="Times New Roman" w:hAnsi="Arial" w:cs="Arial"/>
              </w:rPr>
            </w:pPr>
            <w:r w:rsidRPr="006124D3">
              <w:rPr>
                <w:rFonts w:ascii="Arial" w:eastAsia="Times New Roman" w:hAnsi="Arial" w:cs="Arial"/>
              </w:rPr>
              <w:t>Ensembles run by LC staff outside the conservatoire are entitled to a 50% discount on loans, and no set up fee. Loans to such ensembles must be issued to a separate ensemble library account, and borrowers must abide by the rules for ensemble members.</w:t>
            </w:r>
          </w:p>
          <w:tbl>
            <w:tblPr>
              <w:tblStyle w:val="TableGrid"/>
              <w:tblW w:w="0" w:type="auto"/>
              <w:tblLook w:val="04A0" w:firstRow="1" w:lastRow="0" w:firstColumn="1" w:lastColumn="0" w:noHBand="0" w:noVBand="1"/>
            </w:tblPr>
            <w:tblGrid>
              <w:gridCol w:w="5524"/>
              <w:gridCol w:w="1417"/>
            </w:tblGrid>
            <w:tr w:rsidR="006124D3" w:rsidRPr="006124D3" w:rsidTr="00EF5DF0">
              <w:tc>
                <w:tcPr>
                  <w:tcW w:w="5524" w:type="dxa"/>
                </w:tcPr>
                <w:p w:rsidR="006124D3" w:rsidRPr="006124D3" w:rsidRDefault="006124D3" w:rsidP="006124D3">
                  <w:pPr>
                    <w:spacing w:line="276" w:lineRule="auto"/>
                    <w:rPr>
                      <w:rFonts w:cs="Arial"/>
                      <w:sz w:val="22"/>
                    </w:rPr>
                  </w:pPr>
                  <w:r w:rsidRPr="006124D3">
                    <w:rPr>
                      <w:rFonts w:cs="Arial"/>
                      <w:sz w:val="22"/>
                    </w:rPr>
                    <w:t>Large orchestral sets</w:t>
                  </w:r>
                </w:p>
              </w:tc>
              <w:tc>
                <w:tcPr>
                  <w:tcW w:w="1417" w:type="dxa"/>
                </w:tcPr>
                <w:p w:rsidR="006124D3" w:rsidRPr="006124D3" w:rsidRDefault="006124D3" w:rsidP="006124D3">
                  <w:pPr>
                    <w:spacing w:line="276" w:lineRule="auto"/>
                    <w:rPr>
                      <w:rFonts w:cs="Arial"/>
                      <w:sz w:val="22"/>
                    </w:rPr>
                  </w:pPr>
                  <w:r w:rsidRPr="006124D3">
                    <w:rPr>
                      <w:rFonts w:cs="Arial"/>
                      <w:sz w:val="22"/>
                    </w:rPr>
                    <w:t>£30</w:t>
                  </w:r>
                </w:p>
              </w:tc>
            </w:tr>
            <w:tr w:rsidR="006124D3" w:rsidRPr="006124D3" w:rsidTr="00EF5DF0">
              <w:tc>
                <w:tcPr>
                  <w:tcW w:w="5524" w:type="dxa"/>
                </w:tcPr>
                <w:p w:rsidR="006124D3" w:rsidRPr="006124D3" w:rsidRDefault="006124D3" w:rsidP="006124D3">
                  <w:pPr>
                    <w:spacing w:line="276" w:lineRule="auto"/>
                    <w:rPr>
                      <w:rFonts w:cs="Arial"/>
                      <w:sz w:val="22"/>
                    </w:rPr>
                  </w:pPr>
                  <w:r w:rsidRPr="006124D3">
                    <w:rPr>
                      <w:rFonts w:cs="Arial"/>
                      <w:sz w:val="22"/>
                    </w:rPr>
                    <w:t>Small orchestral sets</w:t>
                  </w:r>
                </w:p>
              </w:tc>
              <w:tc>
                <w:tcPr>
                  <w:tcW w:w="1417" w:type="dxa"/>
                </w:tcPr>
                <w:p w:rsidR="006124D3" w:rsidRPr="006124D3" w:rsidRDefault="006124D3" w:rsidP="006124D3">
                  <w:pPr>
                    <w:spacing w:line="276" w:lineRule="auto"/>
                    <w:rPr>
                      <w:rFonts w:cs="Arial"/>
                      <w:sz w:val="22"/>
                    </w:rPr>
                  </w:pPr>
                  <w:r w:rsidRPr="006124D3">
                    <w:rPr>
                      <w:rFonts w:cs="Arial"/>
                      <w:sz w:val="22"/>
                    </w:rPr>
                    <w:t>£15</w:t>
                  </w:r>
                </w:p>
              </w:tc>
            </w:tr>
            <w:tr w:rsidR="006124D3" w:rsidRPr="006124D3" w:rsidTr="00EF5DF0">
              <w:tc>
                <w:tcPr>
                  <w:tcW w:w="5524" w:type="dxa"/>
                </w:tcPr>
                <w:p w:rsidR="006124D3" w:rsidRPr="006124D3" w:rsidRDefault="006124D3" w:rsidP="006124D3">
                  <w:pPr>
                    <w:spacing w:line="276" w:lineRule="auto"/>
                    <w:rPr>
                      <w:rFonts w:cs="Arial"/>
                      <w:sz w:val="22"/>
                    </w:rPr>
                  </w:pPr>
                  <w:r w:rsidRPr="006124D3">
                    <w:rPr>
                      <w:rFonts w:cs="Arial"/>
                      <w:sz w:val="22"/>
                    </w:rPr>
                    <w:t>Wind band sets</w:t>
                  </w:r>
                </w:p>
              </w:tc>
              <w:tc>
                <w:tcPr>
                  <w:tcW w:w="1417" w:type="dxa"/>
                </w:tcPr>
                <w:p w:rsidR="006124D3" w:rsidRPr="006124D3" w:rsidRDefault="006124D3" w:rsidP="006124D3">
                  <w:pPr>
                    <w:spacing w:line="276" w:lineRule="auto"/>
                    <w:rPr>
                      <w:rFonts w:cs="Arial"/>
                      <w:sz w:val="22"/>
                    </w:rPr>
                  </w:pPr>
                  <w:r w:rsidRPr="006124D3">
                    <w:rPr>
                      <w:rFonts w:cs="Arial"/>
                      <w:sz w:val="22"/>
                    </w:rPr>
                    <w:t>£15</w:t>
                  </w:r>
                </w:p>
              </w:tc>
            </w:tr>
            <w:tr w:rsidR="006124D3" w:rsidRPr="006124D3" w:rsidTr="00EF5DF0">
              <w:tc>
                <w:tcPr>
                  <w:tcW w:w="5524" w:type="dxa"/>
                </w:tcPr>
                <w:p w:rsidR="006124D3" w:rsidRPr="006124D3" w:rsidRDefault="006124D3" w:rsidP="006124D3">
                  <w:pPr>
                    <w:spacing w:line="276" w:lineRule="auto"/>
                    <w:rPr>
                      <w:rFonts w:cs="Arial"/>
                      <w:sz w:val="22"/>
                    </w:rPr>
                  </w:pPr>
                  <w:r w:rsidRPr="006124D3">
                    <w:rPr>
                      <w:rFonts w:cs="Arial"/>
                      <w:sz w:val="22"/>
                    </w:rPr>
                    <w:t>Choral sets – up to 30 copies</w:t>
                  </w:r>
                </w:p>
              </w:tc>
              <w:tc>
                <w:tcPr>
                  <w:tcW w:w="1417" w:type="dxa"/>
                </w:tcPr>
                <w:p w:rsidR="006124D3" w:rsidRPr="006124D3" w:rsidRDefault="006124D3" w:rsidP="006124D3">
                  <w:pPr>
                    <w:spacing w:line="276" w:lineRule="auto"/>
                    <w:rPr>
                      <w:rFonts w:cs="Arial"/>
                      <w:sz w:val="22"/>
                    </w:rPr>
                  </w:pPr>
                  <w:r w:rsidRPr="006124D3">
                    <w:rPr>
                      <w:rFonts w:cs="Arial"/>
                      <w:sz w:val="22"/>
                    </w:rPr>
                    <w:t>£30</w:t>
                  </w:r>
                </w:p>
              </w:tc>
            </w:tr>
            <w:tr w:rsidR="006124D3" w:rsidRPr="006124D3" w:rsidTr="00EF5DF0">
              <w:tc>
                <w:tcPr>
                  <w:tcW w:w="5524" w:type="dxa"/>
                </w:tcPr>
                <w:p w:rsidR="006124D3" w:rsidRPr="006124D3" w:rsidRDefault="006124D3" w:rsidP="006124D3">
                  <w:pPr>
                    <w:spacing w:line="276" w:lineRule="auto"/>
                    <w:rPr>
                      <w:rFonts w:cs="Arial"/>
                      <w:sz w:val="22"/>
                    </w:rPr>
                  </w:pPr>
                  <w:r w:rsidRPr="006124D3">
                    <w:rPr>
                      <w:rFonts w:cs="Arial"/>
                      <w:sz w:val="22"/>
                    </w:rPr>
                    <w:t>Choral sets – 31+ copies</w:t>
                  </w:r>
                </w:p>
              </w:tc>
              <w:tc>
                <w:tcPr>
                  <w:tcW w:w="1417" w:type="dxa"/>
                </w:tcPr>
                <w:p w:rsidR="006124D3" w:rsidRPr="006124D3" w:rsidRDefault="006124D3" w:rsidP="006124D3">
                  <w:pPr>
                    <w:spacing w:line="276" w:lineRule="auto"/>
                    <w:rPr>
                      <w:rFonts w:cs="Arial"/>
                      <w:sz w:val="22"/>
                    </w:rPr>
                  </w:pPr>
                  <w:r w:rsidRPr="006124D3">
                    <w:rPr>
                      <w:rFonts w:cs="Arial"/>
                      <w:sz w:val="22"/>
                    </w:rPr>
                    <w:t>£50</w:t>
                  </w:r>
                </w:p>
              </w:tc>
            </w:tr>
            <w:tr w:rsidR="006124D3" w:rsidRPr="006124D3" w:rsidTr="00EF5DF0">
              <w:tc>
                <w:tcPr>
                  <w:tcW w:w="5524" w:type="dxa"/>
                </w:tcPr>
                <w:p w:rsidR="006124D3" w:rsidRPr="006124D3" w:rsidRDefault="006124D3" w:rsidP="006124D3">
                  <w:pPr>
                    <w:spacing w:line="276" w:lineRule="auto"/>
                    <w:rPr>
                      <w:rFonts w:cs="Arial"/>
                      <w:sz w:val="22"/>
                    </w:rPr>
                  </w:pPr>
                  <w:r w:rsidRPr="006124D3">
                    <w:rPr>
                      <w:rFonts w:cs="Arial"/>
                      <w:sz w:val="22"/>
                    </w:rPr>
                    <w:t>Short work choral sets</w:t>
                  </w:r>
                </w:p>
              </w:tc>
              <w:tc>
                <w:tcPr>
                  <w:tcW w:w="1417" w:type="dxa"/>
                </w:tcPr>
                <w:p w:rsidR="006124D3" w:rsidRPr="006124D3" w:rsidRDefault="006124D3" w:rsidP="006124D3">
                  <w:pPr>
                    <w:spacing w:line="276" w:lineRule="auto"/>
                    <w:rPr>
                      <w:rFonts w:cs="Arial"/>
                      <w:sz w:val="22"/>
                    </w:rPr>
                  </w:pPr>
                  <w:r w:rsidRPr="006124D3">
                    <w:rPr>
                      <w:rFonts w:cs="Arial"/>
                      <w:sz w:val="22"/>
                    </w:rPr>
                    <w:t>£15</w:t>
                  </w:r>
                </w:p>
              </w:tc>
            </w:tr>
            <w:tr w:rsidR="006124D3" w:rsidRPr="006124D3" w:rsidTr="00EF5DF0">
              <w:tc>
                <w:tcPr>
                  <w:tcW w:w="5524" w:type="dxa"/>
                </w:tcPr>
                <w:p w:rsidR="006124D3" w:rsidRPr="006124D3" w:rsidRDefault="006124D3" w:rsidP="006124D3">
                  <w:pPr>
                    <w:spacing w:line="276" w:lineRule="auto"/>
                    <w:rPr>
                      <w:rFonts w:cs="Arial"/>
                      <w:sz w:val="22"/>
                    </w:rPr>
                  </w:pPr>
                  <w:r w:rsidRPr="006124D3">
                    <w:rPr>
                      <w:rFonts w:cs="Arial"/>
                      <w:sz w:val="22"/>
                    </w:rPr>
                    <w:t>Big bands using the manuscript score collection</w:t>
                  </w:r>
                </w:p>
              </w:tc>
              <w:tc>
                <w:tcPr>
                  <w:tcW w:w="1417" w:type="dxa"/>
                </w:tcPr>
                <w:p w:rsidR="006124D3" w:rsidRPr="006124D3" w:rsidRDefault="006124D3" w:rsidP="006124D3">
                  <w:pPr>
                    <w:spacing w:line="276" w:lineRule="auto"/>
                    <w:rPr>
                      <w:rFonts w:cs="Arial"/>
                      <w:sz w:val="22"/>
                    </w:rPr>
                  </w:pPr>
                  <w:r w:rsidRPr="006124D3">
                    <w:rPr>
                      <w:rFonts w:cs="Arial"/>
                      <w:sz w:val="22"/>
                    </w:rPr>
                    <w:t>Price on application</w:t>
                  </w:r>
                </w:p>
              </w:tc>
            </w:tr>
          </w:tbl>
          <w:p w:rsidR="006124D3" w:rsidRPr="006124D3" w:rsidRDefault="006124D3" w:rsidP="006124D3">
            <w:pPr>
              <w:spacing w:line="276" w:lineRule="auto"/>
              <w:rPr>
                <w:rFonts w:cs="Arial"/>
                <w:sz w:val="22"/>
                <w:szCs w:val="22"/>
              </w:rPr>
            </w:pPr>
            <w:r w:rsidRPr="006124D3">
              <w:rPr>
                <w:rFonts w:cs="Arial"/>
                <w:sz w:val="22"/>
                <w:szCs w:val="22"/>
              </w:rPr>
              <w:t>If ensembles are not able to collect the set in person, postage will be charged based on Parcelforce courier charges.</w:t>
            </w:r>
          </w:p>
          <w:p w:rsidR="006124D3" w:rsidRPr="006124D3" w:rsidRDefault="006124D3" w:rsidP="006124D3">
            <w:pPr>
              <w:spacing w:line="276" w:lineRule="auto"/>
              <w:rPr>
                <w:rFonts w:cs="Arial"/>
                <w:sz w:val="22"/>
                <w:szCs w:val="22"/>
              </w:rPr>
            </w:pPr>
          </w:p>
          <w:p w:rsidR="006124D3" w:rsidRPr="006124D3" w:rsidRDefault="006124D3" w:rsidP="006124D3">
            <w:pPr>
              <w:spacing w:line="276" w:lineRule="auto"/>
              <w:rPr>
                <w:rFonts w:cs="Arial"/>
                <w:sz w:val="22"/>
                <w:szCs w:val="22"/>
              </w:rPr>
            </w:pPr>
            <w:r w:rsidRPr="006124D3">
              <w:rPr>
                <w:rFonts w:cs="Arial"/>
                <w:sz w:val="22"/>
                <w:szCs w:val="22"/>
              </w:rPr>
              <w:t>General Principles of library use</w:t>
            </w:r>
          </w:p>
          <w:p w:rsidR="006124D3" w:rsidRPr="006124D3" w:rsidRDefault="006124D3" w:rsidP="006124D3">
            <w:pPr>
              <w:spacing w:line="276" w:lineRule="auto"/>
              <w:rPr>
                <w:rFonts w:cs="Arial"/>
                <w:sz w:val="22"/>
                <w:szCs w:val="22"/>
              </w:rPr>
            </w:pPr>
          </w:p>
          <w:p w:rsidR="006124D3" w:rsidRPr="006124D3" w:rsidRDefault="006124D3" w:rsidP="006124D3">
            <w:pPr>
              <w:spacing w:line="276" w:lineRule="auto"/>
              <w:rPr>
                <w:rFonts w:cs="Arial"/>
                <w:sz w:val="22"/>
                <w:szCs w:val="22"/>
              </w:rPr>
            </w:pPr>
            <w:r w:rsidRPr="006124D3">
              <w:rPr>
                <w:rFonts w:cs="Arial"/>
                <w:sz w:val="22"/>
                <w:szCs w:val="22"/>
              </w:rPr>
              <w:t>Borrowing</w:t>
            </w:r>
          </w:p>
          <w:p w:rsidR="006124D3" w:rsidRPr="006124D3" w:rsidRDefault="006124D3" w:rsidP="006124D3">
            <w:pPr>
              <w:pStyle w:val="ListParagraph"/>
              <w:numPr>
                <w:ilvl w:val="0"/>
                <w:numId w:val="20"/>
              </w:numPr>
              <w:spacing w:line="276" w:lineRule="auto"/>
              <w:contextualSpacing/>
              <w:rPr>
                <w:rFonts w:ascii="Arial" w:eastAsia="Times New Roman" w:hAnsi="Arial" w:cs="Arial"/>
              </w:rPr>
            </w:pPr>
            <w:r w:rsidRPr="006124D3">
              <w:rPr>
                <w:rFonts w:ascii="Arial" w:eastAsia="Times New Roman" w:hAnsi="Arial" w:cs="Arial"/>
              </w:rPr>
              <w:t>Only items that have formally been issued to a user may be removed from the library.</w:t>
            </w:r>
          </w:p>
          <w:p w:rsidR="006124D3" w:rsidRPr="006124D3" w:rsidRDefault="006124D3" w:rsidP="006124D3">
            <w:pPr>
              <w:numPr>
                <w:ilvl w:val="0"/>
                <w:numId w:val="20"/>
              </w:numPr>
              <w:spacing w:line="276" w:lineRule="auto"/>
              <w:contextualSpacing/>
              <w:rPr>
                <w:rFonts w:cs="Arial"/>
                <w:sz w:val="22"/>
                <w:szCs w:val="22"/>
              </w:rPr>
            </w:pPr>
            <w:r w:rsidRPr="006124D3">
              <w:rPr>
                <w:rFonts w:cs="Arial"/>
                <w:sz w:val="22"/>
                <w:szCs w:val="22"/>
              </w:rPr>
              <w:t>Only the types of materials listed above can be borrowed. Library staff may at any time withhold from general circulation material that is required by staff or students for a particular assignment.</w:t>
            </w:r>
          </w:p>
          <w:p w:rsidR="006124D3" w:rsidRPr="006124D3" w:rsidRDefault="006124D3" w:rsidP="006124D3">
            <w:pPr>
              <w:pStyle w:val="ListParagraph"/>
              <w:numPr>
                <w:ilvl w:val="0"/>
                <w:numId w:val="20"/>
              </w:numPr>
              <w:spacing w:line="276" w:lineRule="auto"/>
              <w:contextualSpacing/>
              <w:rPr>
                <w:rFonts w:ascii="Arial" w:eastAsia="Times New Roman" w:hAnsi="Arial" w:cs="Arial"/>
              </w:rPr>
            </w:pPr>
            <w:r w:rsidRPr="006124D3">
              <w:rPr>
                <w:rFonts w:ascii="Arial" w:eastAsia="Times New Roman" w:hAnsi="Arial" w:cs="Arial"/>
              </w:rPr>
              <w:t>The library user is responsible for a borrowed item as long as it remains on their record. If a card is lost or stolen, the user will remain responsible for items issued using it until the library has been informed of the loss.</w:t>
            </w:r>
          </w:p>
          <w:p w:rsidR="006124D3" w:rsidRPr="006124D3" w:rsidRDefault="006124D3" w:rsidP="006124D3">
            <w:pPr>
              <w:numPr>
                <w:ilvl w:val="0"/>
                <w:numId w:val="20"/>
              </w:numPr>
              <w:spacing w:line="276" w:lineRule="auto"/>
              <w:rPr>
                <w:rFonts w:cs="Arial"/>
                <w:sz w:val="22"/>
                <w:szCs w:val="22"/>
              </w:rPr>
            </w:pPr>
            <w:r w:rsidRPr="006124D3">
              <w:rPr>
                <w:rFonts w:cs="Arial"/>
                <w:sz w:val="22"/>
                <w:szCs w:val="22"/>
              </w:rPr>
              <w:t>Current loan terms are advertised appropriately, and the date items are initially due back will be stamped on each item borrowed.</w:t>
            </w:r>
          </w:p>
          <w:p w:rsidR="006124D3" w:rsidRPr="006124D3" w:rsidRDefault="006124D3" w:rsidP="006124D3">
            <w:pPr>
              <w:numPr>
                <w:ilvl w:val="0"/>
                <w:numId w:val="20"/>
              </w:numPr>
              <w:spacing w:line="276" w:lineRule="auto"/>
              <w:rPr>
                <w:rFonts w:cs="Arial"/>
                <w:sz w:val="22"/>
                <w:szCs w:val="22"/>
              </w:rPr>
            </w:pPr>
            <w:r w:rsidRPr="006124D3">
              <w:rPr>
                <w:rFonts w:cs="Arial"/>
                <w:sz w:val="22"/>
                <w:szCs w:val="22"/>
              </w:rPr>
              <w:t>Items can be renewed for a maximum of six weeks, but must then be returned to the library.</w:t>
            </w:r>
          </w:p>
          <w:p w:rsidR="006124D3" w:rsidRPr="006124D3" w:rsidRDefault="006124D3" w:rsidP="006124D3">
            <w:pPr>
              <w:numPr>
                <w:ilvl w:val="0"/>
                <w:numId w:val="20"/>
              </w:numPr>
              <w:spacing w:line="276" w:lineRule="auto"/>
              <w:rPr>
                <w:rFonts w:cs="Arial"/>
                <w:sz w:val="22"/>
                <w:szCs w:val="22"/>
              </w:rPr>
            </w:pPr>
            <w:r w:rsidRPr="006124D3">
              <w:rPr>
                <w:rFonts w:cs="Arial"/>
                <w:sz w:val="22"/>
                <w:szCs w:val="22"/>
              </w:rPr>
              <w:t>Borrowed items may not be taken out of the United Kingdom except with permission from the library manager.</w:t>
            </w:r>
          </w:p>
          <w:p w:rsidR="006124D3" w:rsidRPr="006124D3" w:rsidRDefault="006124D3" w:rsidP="006124D3">
            <w:pPr>
              <w:spacing w:line="276" w:lineRule="auto"/>
              <w:rPr>
                <w:rFonts w:cs="Arial"/>
                <w:sz w:val="22"/>
                <w:szCs w:val="22"/>
              </w:rPr>
            </w:pPr>
            <w:r w:rsidRPr="006124D3">
              <w:rPr>
                <w:rFonts w:cs="Arial"/>
                <w:sz w:val="22"/>
                <w:szCs w:val="22"/>
              </w:rPr>
              <w:t>Returning</w:t>
            </w:r>
          </w:p>
          <w:p w:rsidR="006124D3" w:rsidRPr="006124D3" w:rsidRDefault="006124D3" w:rsidP="006124D3">
            <w:pPr>
              <w:numPr>
                <w:ilvl w:val="0"/>
                <w:numId w:val="20"/>
              </w:numPr>
              <w:spacing w:line="276" w:lineRule="auto"/>
              <w:rPr>
                <w:rFonts w:cs="Arial"/>
                <w:sz w:val="22"/>
                <w:szCs w:val="22"/>
              </w:rPr>
            </w:pPr>
            <w:r w:rsidRPr="006124D3">
              <w:rPr>
                <w:rFonts w:cs="Arial"/>
                <w:sz w:val="22"/>
                <w:szCs w:val="22"/>
              </w:rPr>
              <w:t>All items borrowed must be returned to a member of staff at the library counter.</w:t>
            </w:r>
          </w:p>
          <w:p w:rsidR="006124D3" w:rsidRPr="006124D3" w:rsidRDefault="006124D3" w:rsidP="006124D3">
            <w:pPr>
              <w:numPr>
                <w:ilvl w:val="0"/>
                <w:numId w:val="20"/>
              </w:numPr>
              <w:spacing w:line="276" w:lineRule="auto"/>
              <w:rPr>
                <w:rFonts w:cs="Arial"/>
                <w:sz w:val="22"/>
                <w:szCs w:val="22"/>
              </w:rPr>
            </w:pPr>
            <w:r w:rsidRPr="006124D3">
              <w:rPr>
                <w:rFonts w:cs="Arial"/>
                <w:sz w:val="22"/>
                <w:szCs w:val="22"/>
              </w:rPr>
              <w:t>If there is a problem with returning an item, users are advised to contact library staff as soon as possible, so a resolution may be found.</w:t>
            </w:r>
          </w:p>
          <w:p w:rsidR="006124D3" w:rsidRPr="006124D3" w:rsidRDefault="006124D3" w:rsidP="006124D3">
            <w:pPr>
              <w:spacing w:line="276" w:lineRule="auto"/>
              <w:rPr>
                <w:rFonts w:cs="Arial"/>
                <w:sz w:val="22"/>
                <w:szCs w:val="22"/>
              </w:rPr>
            </w:pPr>
            <w:r w:rsidRPr="006124D3">
              <w:rPr>
                <w:rFonts w:cs="Arial"/>
                <w:sz w:val="22"/>
                <w:szCs w:val="22"/>
              </w:rPr>
              <w:lastRenderedPageBreak/>
              <w:t xml:space="preserve">Small Ensembles </w:t>
            </w:r>
          </w:p>
          <w:p w:rsidR="006124D3" w:rsidRPr="004E37DF" w:rsidRDefault="006124D3" w:rsidP="006124D3">
            <w:pPr>
              <w:numPr>
                <w:ilvl w:val="0"/>
                <w:numId w:val="20"/>
              </w:numPr>
              <w:spacing w:line="276" w:lineRule="auto"/>
              <w:rPr>
                <w:rFonts w:asciiTheme="minorHAnsi" w:hAnsiTheme="minorHAnsi" w:cstheme="minorHAnsi"/>
                <w:sz w:val="22"/>
                <w:szCs w:val="22"/>
              </w:rPr>
            </w:pPr>
            <w:r w:rsidRPr="006124D3">
              <w:rPr>
                <w:rFonts w:cs="Arial"/>
                <w:sz w:val="22"/>
                <w:szCs w:val="22"/>
              </w:rPr>
              <w:t xml:space="preserve">A set of parts is considered one item. </w:t>
            </w:r>
          </w:p>
          <w:p w:rsidR="006124D3" w:rsidRPr="006124D3" w:rsidRDefault="006124D3" w:rsidP="006124D3">
            <w:pPr>
              <w:numPr>
                <w:ilvl w:val="0"/>
                <w:numId w:val="20"/>
              </w:numPr>
              <w:spacing w:line="276" w:lineRule="auto"/>
              <w:rPr>
                <w:rFonts w:cs="Arial"/>
                <w:sz w:val="22"/>
                <w:szCs w:val="22"/>
              </w:rPr>
            </w:pPr>
            <w:r w:rsidRPr="006124D3">
              <w:rPr>
                <w:rFonts w:cs="Arial"/>
                <w:sz w:val="22"/>
                <w:szCs w:val="22"/>
              </w:rPr>
              <w:t xml:space="preserve">The borrower is expected to check music for ensembles for completeness before issuing, and sets will not be accepted for return unless all parts are present. </w:t>
            </w:r>
          </w:p>
          <w:p w:rsidR="006124D3" w:rsidRPr="006124D3" w:rsidRDefault="006124D3" w:rsidP="006124D3">
            <w:pPr>
              <w:numPr>
                <w:ilvl w:val="0"/>
                <w:numId w:val="20"/>
              </w:numPr>
              <w:spacing w:line="276" w:lineRule="auto"/>
              <w:rPr>
                <w:rFonts w:cs="Arial"/>
                <w:sz w:val="22"/>
                <w:szCs w:val="22"/>
              </w:rPr>
            </w:pPr>
            <w:r w:rsidRPr="006124D3">
              <w:rPr>
                <w:rFonts w:cs="Arial"/>
                <w:sz w:val="22"/>
                <w:szCs w:val="22"/>
              </w:rPr>
              <w:t>If any part is missing on return an invoice for the replacement of the whole set may be raised against the borrower.</w:t>
            </w:r>
          </w:p>
          <w:p w:rsidR="006124D3" w:rsidRPr="006124D3" w:rsidRDefault="006124D3" w:rsidP="006124D3">
            <w:pPr>
              <w:spacing w:line="276" w:lineRule="auto"/>
              <w:ind w:left="720"/>
              <w:rPr>
                <w:rFonts w:cs="Arial"/>
                <w:sz w:val="22"/>
                <w:szCs w:val="22"/>
              </w:rPr>
            </w:pPr>
          </w:p>
          <w:p w:rsidR="006124D3" w:rsidRPr="006124D3" w:rsidRDefault="006124D3" w:rsidP="006124D3">
            <w:pPr>
              <w:spacing w:line="276" w:lineRule="auto"/>
              <w:rPr>
                <w:rFonts w:cs="Arial"/>
                <w:sz w:val="22"/>
                <w:szCs w:val="22"/>
              </w:rPr>
            </w:pPr>
            <w:r w:rsidRPr="006124D3">
              <w:rPr>
                <w:rFonts w:cs="Arial"/>
                <w:sz w:val="22"/>
                <w:szCs w:val="22"/>
              </w:rPr>
              <w:t>Library etiquette</w:t>
            </w:r>
          </w:p>
          <w:p w:rsidR="006124D3" w:rsidRPr="006124D3" w:rsidRDefault="006124D3" w:rsidP="006124D3">
            <w:pPr>
              <w:numPr>
                <w:ilvl w:val="0"/>
                <w:numId w:val="20"/>
              </w:numPr>
              <w:spacing w:line="276" w:lineRule="auto"/>
              <w:rPr>
                <w:rFonts w:cs="Arial"/>
                <w:sz w:val="22"/>
                <w:szCs w:val="22"/>
              </w:rPr>
            </w:pPr>
            <w:r w:rsidRPr="006124D3">
              <w:rPr>
                <w:rFonts w:cs="Arial"/>
                <w:sz w:val="22"/>
                <w:szCs w:val="22"/>
              </w:rPr>
              <w:t>Users must leave the library 15 minutes before closing time, when asked to do so by a member of library staff or security.</w:t>
            </w:r>
          </w:p>
          <w:p w:rsidR="006124D3" w:rsidRPr="006124D3" w:rsidRDefault="006124D3" w:rsidP="006124D3">
            <w:pPr>
              <w:pStyle w:val="BodyText"/>
              <w:numPr>
                <w:ilvl w:val="0"/>
                <w:numId w:val="20"/>
              </w:numPr>
              <w:tabs>
                <w:tab w:val="clear" w:pos="-1440"/>
                <w:tab w:val="clear" w:pos="-720"/>
                <w:tab w:val="clear" w:pos="-193"/>
              </w:tabs>
              <w:spacing w:line="276" w:lineRule="auto"/>
              <w:rPr>
                <w:sz w:val="22"/>
                <w:szCs w:val="22"/>
              </w:rPr>
            </w:pPr>
            <w:r w:rsidRPr="006124D3">
              <w:rPr>
                <w:sz w:val="22"/>
                <w:szCs w:val="22"/>
              </w:rPr>
              <w:t>Mobile phones must be switched to silent when entering the library, and phone calls must not be made or answered.</w:t>
            </w:r>
          </w:p>
          <w:p w:rsidR="006124D3" w:rsidRPr="006124D3" w:rsidRDefault="006124D3" w:rsidP="006124D3">
            <w:pPr>
              <w:pStyle w:val="BodyText"/>
              <w:numPr>
                <w:ilvl w:val="0"/>
                <w:numId w:val="20"/>
              </w:numPr>
              <w:spacing w:line="276" w:lineRule="auto"/>
              <w:rPr>
                <w:sz w:val="22"/>
                <w:szCs w:val="22"/>
              </w:rPr>
            </w:pPr>
            <w:r w:rsidRPr="006124D3">
              <w:rPr>
                <w:sz w:val="22"/>
                <w:szCs w:val="22"/>
              </w:rPr>
              <w:t>Eating or drinking is permitted in the library, but items consumed must be appropriate to a library environment. Inappropriate items include hot food, alcohol or excessively smelly food. In case of doubt, the judgement rests with member of library staff on duty. Library users are expected to clean up any rubbish, crumbs, and spills when finished.</w:t>
            </w:r>
          </w:p>
          <w:p w:rsidR="006124D3" w:rsidRPr="006124D3" w:rsidRDefault="006124D3" w:rsidP="006124D3">
            <w:pPr>
              <w:pStyle w:val="BodyText"/>
              <w:numPr>
                <w:ilvl w:val="0"/>
                <w:numId w:val="20"/>
              </w:numPr>
              <w:spacing w:line="276" w:lineRule="auto"/>
              <w:rPr>
                <w:sz w:val="22"/>
                <w:szCs w:val="22"/>
              </w:rPr>
            </w:pPr>
            <w:r w:rsidRPr="006124D3">
              <w:rPr>
                <w:sz w:val="22"/>
                <w:szCs w:val="22"/>
              </w:rPr>
              <w:t>All users are expected to respect and maintain the quiet working atmosphere of the library. Anyone making excessive noise will be asked to cease, and if they consistently fail to comply will be asked to leave.</w:t>
            </w:r>
          </w:p>
          <w:p w:rsidR="006124D3" w:rsidRPr="006124D3" w:rsidRDefault="006124D3" w:rsidP="006124D3">
            <w:pPr>
              <w:pStyle w:val="BodyText"/>
              <w:numPr>
                <w:ilvl w:val="0"/>
                <w:numId w:val="20"/>
              </w:numPr>
              <w:spacing w:line="276" w:lineRule="auto"/>
              <w:rPr>
                <w:sz w:val="22"/>
                <w:szCs w:val="22"/>
              </w:rPr>
            </w:pPr>
            <w:r w:rsidRPr="006124D3">
              <w:rPr>
                <w:sz w:val="22"/>
                <w:szCs w:val="22"/>
              </w:rPr>
              <w:t>All users are expected to treat all library staff and library users fairly and respectfully.</w:t>
            </w:r>
          </w:p>
          <w:p w:rsidR="006124D3" w:rsidRPr="006124D3" w:rsidRDefault="006124D3" w:rsidP="006124D3">
            <w:pPr>
              <w:spacing w:after="200" w:line="276" w:lineRule="auto"/>
              <w:contextualSpacing/>
              <w:rPr>
                <w:rFonts w:cs="Arial"/>
              </w:rPr>
            </w:pPr>
          </w:p>
        </w:tc>
      </w:tr>
      <w:tr w:rsidR="006124D3" w:rsidTr="004C4459">
        <w:tc>
          <w:tcPr>
            <w:tcW w:w="8302" w:type="dxa"/>
            <w:tcBorders>
              <w:top w:val="single" w:sz="4" w:space="0" w:color="auto"/>
              <w:left w:val="single" w:sz="4" w:space="0" w:color="auto"/>
              <w:bottom w:val="single" w:sz="4" w:space="0" w:color="auto"/>
              <w:right w:val="single" w:sz="4" w:space="0" w:color="auto"/>
            </w:tcBorders>
            <w:shd w:val="clear" w:color="auto" w:fill="BDD6EE"/>
          </w:tcPr>
          <w:p w:rsidR="006124D3" w:rsidRDefault="006124D3" w:rsidP="006124D3">
            <w:pPr>
              <w:rPr>
                <w:b/>
              </w:rPr>
            </w:pPr>
            <w:r>
              <w:rPr>
                <w:b/>
              </w:rPr>
              <w:lastRenderedPageBreak/>
              <w:t>Procedure</w:t>
            </w:r>
          </w:p>
        </w:tc>
      </w:tr>
      <w:tr w:rsidR="006124D3" w:rsidRPr="005A3A48" w:rsidTr="006124D3">
        <w:tc>
          <w:tcPr>
            <w:tcW w:w="8302" w:type="dxa"/>
            <w:tcBorders>
              <w:top w:val="single" w:sz="4" w:space="0" w:color="auto"/>
              <w:left w:val="single" w:sz="4" w:space="0" w:color="auto"/>
              <w:bottom w:val="single" w:sz="4" w:space="0" w:color="auto"/>
              <w:right w:val="single" w:sz="4" w:space="0" w:color="auto"/>
            </w:tcBorders>
          </w:tcPr>
          <w:p w:rsidR="006A4E19" w:rsidRPr="006A4E19" w:rsidRDefault="006A4E19" w:rsidP="006A4E19">
            <w:pPr>
              <w:rPr>
                <w:sz w:val="22"/>
              </w:rPr>
            </w:pPr>
            <w:r w:rsidRPr="006A4E19">
              <w:rPr>
                <w:sz w:val="22"/>
              </w:rPr>
              <w:t xml:space="preserve">Full instructions for external members will be available on the LC website. </w:t>
            </w:r>
          </w:p>
          <w:p w:rsidR="006A4E19" w:rsidRPr="006A4E19" w:rsidRDefault="006A4E19" w:rsidP="006A4E19">
            <w:pPr>
              <w:rPr>
                <w:sz w:val="22"/>
              </w:rPr>
            </w:pPr>
            <w:r w:rsidRPr="006A4E19">
              <w:rPr>
                <w:sz w:val="22"/>
              </w:rPr>
              <w:t>Potential members will be required to submit:</w:t>
            </w:r>
          </w:p>
          <w:p w:rsidR="006A4E19" w:rsidRPr="006A4E19" w:rsidRDefault="006A4E19" w:rsidP="006A4E19">
            <w:pPr>
              <w:rPr>
                <w:sz w:val="22"/>
              </w:rPr>
            </w:pPr>
            <w:r w:rsidRPr="006A4E19">
              <w:rPr>
                <w:sz w:val="22"/>
              </w:rPr>
              <w:t>•</w:t>
            </w:r>
            <w:r w:rsidRPr="006A4E19">
              <w:rPr>
                <w:sz w:val="22"/>
              </w:rPr>
              <w:tab/>
              <w:t>Membership form.</w:t>
            </w:r>
          </w:p>
          <w:p w:rsidR="006A4E19" w:rsidRPr="006A4E19" w:rsidRDefault="006A4E19" w:rsidP="006A4E19">
            <w:pPr>
              <w:rPr>
                <w:sz w:val="22"/>
              </w:rPr>
            </w:pPr>
            <w:r w:rsidRPr="006A4E19">
              <w:rPr>
                <w:sz w:val="22"/>
              </w:rPr>
              <w:t>•</w:t>
            </w:r>
            <w:r w:rsidRPr="006A4E19">
              <w:rPr>
                <w:sz w:val="22"/>
              </w:rPr>
              <w:tab/>
              <w:t>Photo ID and proof of address.</w:t>
            </w:r>
          </w:p>
          <w:p w:rsidR="006124D3" w:rsidRPr="005A3A48" w:rsidRDefault="006A4E19" w:rsidP="006A4E19">
            <w:pPr>
              <w:rPr>
                <w:sz w:val="22"/>
                <w:szCs w:val="22"/>
              </w:rPr>
            </w:pPr>
            <w:r w:rsidRPr="006A4E19">
              <w:rPr>
                <w:sz w:val="22"/>
              </w:rPr>
              <w:t>•</w:t>
            </w:r>
            <w:r w:rsidRPr="006A4E19">
              <w:rPr>
                <w:sz w:val="22"/>
              </w:rPr>
              <w:tab/>
              <w:t>Evidence if they are a member of a discounted group.</w:t>
            </w:r>
          </w:p>
        </w:tc>
      </w:tr>
      <w:tr w:rsidR="006124D3" w:rsidRPr="00A93632" w:rsidTr="004C4459">
        <w:tc>
          <w:tcPr>
            <w:tcW w:w="8302" w:type="dxa"/>
            <w:tcBorders>
              <w:top w:val="single" w:sz="4" w:space="0" w:color="auto"/>
              <w:left w:val="single" w:sz="4" w:space="0" w:color="auto"/>
              <w:bottom w:val="single" w:sz="4" w:space="0" w:color="auto"/>
              <w:right w:val="single" w:sz="4" w:space="0" w:color="auto"/>
            </w:tcBorders>
            <w:shd w:val="clear" w:color="auto" w:fill="BDD6EE"/>
          </w:tcPr>
          <w:p w:rsidR="006124D3" w:rsidRPr="00A93632" w:rsidRDefault="006124D3" w:rsidP="006124D3">
            <w:pPr>
              <w:rPr>
                <w:b/>
              </w:rPr>
            </w:pPr>
            <w:r>
              <w:rPr>
                <w:b/>
              </w:rPr>
              <w:t>Responsibilities</w:t>
            </w:r>
          </w:p>
        </w:tc>
      </w:tr>
      <w:tr w:rsidR="006124D3" w:rsidRPr="005A3A48" w:rsidTr="006124D3">
        <w:tc>
          <w:tcPr>
            <w:tcW w:w="8302" w:type="dxa"/>
            <w:tcBorders>
              <w:top w:val="single" w:sz="4" w:space="0" w:color="auto"/>
              <w:left w:val="single" w:sz="4" w:space="0" w:color="auto"/>
              <w:bottom w:val="single" w:sz="4" w:space="0" w:color="auto"/>
              <w:right w:val="single" w:sz="4" w:space="0" w:color="auto"/>
            </w:tcBorders>
          </w:tcPr>
          <w:p w:rsidR="006A4E19" w:rsidRPr="006A4E19" w:rsidRDefault="006A4E19" w:rsidP="006A4E19">
            <w:pPr>
              <w:spacing w:before="40" w:after="40"/>
              <w:rPr>
                <w:sz w:val="22"/>
              </w:rPr>
            </w:pPr>
            <w:r w:rsidRPr="006A4E19">
              <w:rPr>
                <w:sz w:val="22"/>
              </w:rPr>
              <w:t>The Library team</w:t>
            </w:r>
          </w:p>
          <w:p w:rsidR="006A4E19" w:rsidRPr="006A4E19" w:rsidRDefault="006A4E19" w:rsidP="006A4E19">
            <w:pPr>
              <w:spacing w:before="40" w:after="40"/>
              <w:rPr>
                <w:sz w:val="22"/>
              </w:rPr>
            </w:pPr>
            <w:r w:rsidRPr="006A4E19">
              <w:rPr>
                <w:sz w:val="22"/>
              </w:rPr>
              <w:t>The library team will handle most aspects of membership. This will include:</w:t>
            </w:r>
          </w:p>
          <w:p w:rsidR="006A4E19" w:rsidRPr="006A4E19" w:rsidRDefault="006A4E19" w:rsidP="006A4E19">
            <w:pPr>
              <w:spacing w:before="40" w:after="40"/>
              <w:rPr>
                <w:sz w:val="22"/>
              </w:rPr>
            </w:pPr>
            <w:r w:rsidRPr="006A4E19">
              <w:rPr>
                <w:sz w:val="22"/>
              </w:rPr>
              <w:t>•</w:t>
            </w:r>
            <w:r w:rsidRPr="006A4E19">
              <w:rPr>
                <w:sz w:val="22"/>
              </w:rPr>
              <w:tab/>
              <w:t>Checking membership documents and taking ID photos.</w:t>
            </w:r>
          </w:p>
          <w:p w:rsidR="006A4E19" w:rsidRPr="006A4E19" w:rsidRDefault="006A4E19" w:rsidP="006A4E19">
            <w:pPr>
              <w:spacing w:before="40" w:after="40"/>
              <w:rPr>
                <w:sz w:val="22"/>
              </w:rPr>
            </w:pPr>
            <w:r w:rsidRPr="006A4E19">
              <w:rPr>
                <w:sz w:val="22"/>
              </w:rPr>
              <w:t>•</w:t>
            </w:r>
            <w:r w:rsidRPr="006A4E19">
              <w:rPr>
                <w:sz w:val="22"/>
              </w:rPr>
              <w:tab/>
              <w:t>Communications of all kinds in person, by phone or by email.</w:t>
            </w:r>
          </w:p>
          <w:p w:rsidR="006A4E19" w:rsidRPr="006A4E19" w:rsidRDefault="006A4E19" w:rsidP="006A4E19">
            <w:pPr>
              <w:spacing w:before="40" w:after="40"/>
              <w:rPr>
                <w:sz w:val="22"/>
              </w:rPr>
            </w:pPr>
            <w:r w:rsidRPr="006A4E19">
              <w:rPr>
                <w:sz w:val="22"/>
              </w:rPr>
              <w:t>•</w:t>
            </w:r>
            <w:r w:rsidRPr="006A4E19">
              <w:rPr>
                <w:sz w:val="22"/>
              </w:rPr>
              <w:tab/>
              <w:t>Supporting members in using the library.</w:t>
            </w:r>
          </w:p>
          <w:p w:rsidR="006A4E19" w:rsidRPr="006A4E19" w:rsidRDefault="006A4E19" w:rsidP="006A4E19">
            <w:pPr>
              <w:spacing w:before="40" w:after="40"/>
              <w:rPr>
                <w:sz w:val="22"/>
              </w:rPr>
            </w:pPr>
            <w:r w:rsidRPr="006A4E19">
              <w:rPr>
                <w:sz w:val="22"/>
              </w:rPr>
              <w:t>•</w:t>
            </w:r>
            <w:r w:rsidRPr="006A4E19">
              <w:rPr>
                <w:sz w:val="22"/>
              </w:rPr>
              <w:tab/>
              <w:t>Invoicing defaulting members.</w:t>
            </w:r>
          </w:p>
          <w:p w:rsidR="006A4E19" w:rsidRPr="006A4E19" w:rsidRDefault="006A4E19" w:rsidP="006A4E19">
            <w:pPr>
              <w:spacing w:before="40" w:after="40"/>
              <w:rPr>
                <w:sz w:val="22"/>
              </w:rPr>
            </w:pPr>
            <w:r w:rsidRPr="006A4E19">
              <w:rPr>
                <w:sz w:val="22"/>
              </w:rPr>
              <w:t>•</w:t>
            </w:r>
            <w:r w:rsidRPr="006A4E19">
              <w:rPr>
                <w:sz w:val="22"/>
              </w:rPr>
              <w:tab/>
              <w:t>Posting items to ensemble members.</w:t>
            </w:r>
          </w:p>
          <w:p w:rsidR="006A4E19" w:rsidRPr="006A4E19" w:rsidRDefault="006A4E19" w:rsidP="006A4E19">
            <w:pPr>
              <w:spacing w:before="40" w:after="40"/>
              <w:rPr>
                <w:sz w:val="22"/>
              </w:rPr>
            </w:pPr>
          </w:p>
          <w:p w:rsidR="006A4E19" w:rsidRPr="006A4E19" w:rsidRDefault="006A4E19" w:rsidP="006A4E19">
            <w:pPr>
              <w:spacing w:before="40" w:after="40"/>
              <w:rPr>
                <w:sz w:val="22"/>
              </w:rPr>
            </w:pPr>
            <w:r w:rsidRPr="006A4E19">
              <w:rPr>
                <w:sz w:val="22"/>
              </w:rPr>
              <w:t>IT/Estates</w:t>
            </w:r>
          </w:p>
          <w:p w:rsidR="006A4E19" w:rsidRPr="006A4E19" w:rsidRDefault="006A4E19" w:rsidP="006A4E19">
            <w:pPr>
              <w:spacing w:before="40" w:after="40"/>
              <w:rPr>
                <w:sz w:val="22"/>
              </w:rPr>
            </w:pPr>
            <w:r w:rsidRPr="006A4E19">
              <w:rPr>
                <w:sz w:val="22"/>
              </w:rPr>
              <w:t>The IT team will be responsible for the creation of ID cards, and the Estates team will be responsible for activating them on the access control system.</w:t>
            </w:r>
          </w:p>
          <w:p w:rsidR="006A4E19" w:rsidRPr="006A4E19" w:rsidRDefault="006A4E19" w:rsidP="006A4E19">
            <w:pPr>
              <w:spacing w:before="40" w:after="40"/>
              <w:rPr>
                <w:sz w:val="22"/>
              </w:rPr>
            </w:pPr>
          </w:p>
          <w:p w:rsidR="006A4E19" w:rsidRPr="006A4E19" w:rsidRDefault="006A4E19" w:rsidP="006A4E19">
            <w:pPr>
              <w:spacing w:before="40" w:after="40"/>
              <w:rPr>
                <w:sz w:val="22"/>
              </w:rPr>
            </w:pPr>
            <w:r w:rsidRPr="006A4E19">
              <w:rPr>
                <w:sz w:val="22"/>
              </w:rPr>
              <w:t>Finance</w:t>
            </w:r>
          </w:p>
          <w:p w:rsidR="006A4E19" w:rsidRPr="006A4E19" w:rsidRDefault="006A4E19" w:rsidP="006A4E19">
            <w:pPr>
              <w:spacing w:before="40" w:after="40"/>
              <w:rPr>
                <w:sz w:val="22"/>
              </w:rPr>
            </w:pPr>
            <w:r w:rsidRPr="006A4E19">
              <w:rPr>
                <w:sz w:val="22"/>
              </w:rPr>
              <w:t>The finance team will work with the library team in invoicing users who fail to return their loans.</w:t>
            </w:r>
          </w:p>
          <w:p w:rsidR="006A4E19" w:rsidRPr="006A4E19" w:rsidRDefault="006A4E19" w:rsidP="006A4E19">
            <w:pPr>
              <w:spacing w:before="40" w:after="40"/>
              <w:rPr>
                <w:sz w:val="22"/>
              </w:rPr>
            </w:pPr>
          </w:p>
          <w:p w:rsidR="00583EEC" w:rsidRDefault="00583EEC" w:rsidP="006A4E19">
            <w:pPr>
              <w:spacing w:before="40" w:after="40"/>
              <w:rPr>
                <w:sz w:val="22"/>
              </w:rPr>
            </w:pPr>
          </w:p>
          <w:p w:rsidR="006A4E19" w:rsidRPr="006A4E19" w:rsidRDefault="006A4E19" w:rsidP="006A4E19">
            <w:pPr>
              <w:spacing w:before="40" w:after="40"/>
              <w:rPr>
                <w:sz w:val="22"/>
              </w:rPr>
            </w:pPr>
            <w:r w:rsidRPr="006A4E19">
              <w:rPr>
                <w:sz w:val="22"/>
              </w:rPr>
              <w:t>Library Manager</w:t>
            </w:r>
          </w:p>
          <w:p w:rsidR="006124D3" w:rsidRPr="004C4459" w:rsidRDefault="006A4E19" w:rsidP="006A4E19">
            <w:pPr>
              <w:spacing w:before="40" w:after="40"/>
              <w:rPr>
                <w:sz w:val="22"/>
              </w:rPr>
            </w:pPr>
            <w:r w:rsidRPr="006A4E19">
              <w:rPr>
                <w:sz w:val="22"/>
              </w:rPr>
              <w:t>Responsible for overseeing the implementation of the policy and assessing the engagement of the public in the library’s offer, and the impact of this engagement on the library’s core users – LC staff and students.</w:t>
            </w:r>
          </w:p>
        </w:tc>
      </w:tr>
    </w:tbl>
    <w:p w:rsidR="005A3A48" w:rsidRDefault="005A3A48" w:rsidP="005A3A48"/>
    <w:tbl>
      <w:tblPr>
        <w:tblW w:w="0" w:type="auto"/>
        <w:tblLook w:val="0000" w:firstRow="0" w:lastRow="0" w:firstColumn="0" w:lastColumn="0" w:noHBand="0" w:noVBand="0"/>
      </w:tblPr>
      <w:tblGrid>
        <w:gridCol w:w="8302"/>
      </w:tblGrid>
      <w:tr w:rsidR="00B401E0" w:rsidTr="004C4459">
        <w:tc>
          <w:tcPr>
            <w:tcW w:w="8302" w:type="dxa"/>
            <w:tcBorders>
              <w:top w:val="single" w:sz="4" w:space="0" w:color="auto"/>
              <w:left w:val="single" w:sz="4" w:space="0" w:color="auto"/>
              <w:bottom w:val="single" w:sz="4" w:space="0" w:color="auto"/>
              <w:right w:val="single" w:sz="4" w:space="0" w:color="auto"/>
            </w:tcBorders>
            <w:shd w:val="clear" w:color="auto" w:fill="BDD6EE"/>
          </w:tcPr>
          <w:p w:rsidR="00B401E0" w:rsidRDefault="00B401E0" w:rsidP="00B401E0">
            <w:pPr>
              <w:rPr>
                <w:b/>
              </w:rPr>
            </w:pPr>
            <w:r>
              <w:rPr>
                <w:b/>
              </w:rPr>
              <w:t xml:space="preserve">Breach of policy </w:t>
            </w:r>
            <w:r w:rsidRPr="00B401E0">
              <w:t>(if applicable)</w:t>
            </w:r>
          </w:p>
        </w:tc>
      </w:tr>
      <w:tr w:rsidR="00B401E0" w:rsidRPr="005A3A48" w:rsidTr="006A4E19">
        <w:tc>
          <w:tcPr>
            <w:tcW w:w="8302" w:type="dxa"/>
            <w:tcBorders>
              <w:top w:val="single" w:sz="4" w:space="0" w:color="auto"/>
              <w:left w:val="single" w:sz="4" w:space="0" w:color="auto"/>
              <w:bottom w:val="single" w:sz="4" w:space="0" w:color="auto"/>
              <w:right w:val="single" w:sz="4" w:space="0" w:color="auto"/>
            </w:tcBorders>
          </w:tcPr>
          <w:p w:rsidR="006A4E19" w:rsidRPr="006A4E19" w:rsidRDefault="006A4E19" w:rsidP="006A4E19">
            <w:pPr>
              <w:spacing w:line="276" w:lineRule="auto"/>
              <w:rPr>
                <w:rFonts w:cs="Arial"/>
                <w:sz w:val="22"/>
                <w:szCs w:val="22"/>
              </w:rPr>
            </w:pPr>
            <w:r w:rsidRPr="006A4E19">
              <w:rPr>
                <w:rFonts w:cs="Arial"/>
                <w:sz w:val="22"/>
                <w:szCs w:val="22"/>
              </w:rPr>
              <w:t>Penalties</w:t>
            </w:r>
          </w:p>
          <w:p w:rsidR="006A4E19" w:rsidRPr="006A4E19" w:rsidRDefault="006A4E19" w:rsidP="006A4E19">
            <w:pPr>
              <w:pStyle w:val="ListParagraph"/>
              <w:numPr>
                <w:ilvl w:val="0"/>
                <w:numId w:val="21"/>
              </w:numPr>
              <w:spacing w:line="276" w:lineRule="auto"/>
              <w:rPr>
                <w:rFonts w:ascii="Arial" w:hAnsi="Arial" w:cs="Arial"/>
              </w:rPr>
            </w:pPr>
            <w:r w:rsidRPr="006A4E19">
              <w:rPr>
                <w:rFonts w:ascii="Arial" w:hAnsi="Arial" w:cs="Arial"/>
              </w:rPr>
              <w:t>Late returns will be subject to a 20p per day fine, or £1 per day if reserved by LC staff or students.</w:t>
            </w:r>
          </w:p>
          <w:p w:rsidR="006A4E19" w:rsidRPr="006A4E19" w:rsidRDefault="006A4E19" w:rsidP="006A4E19">
            <w:pPr>
              <w:pStyle w:val="ListParagraph"/>
              <w:numPr>
                <w:ilvl w:val="0"/>
                <w:numId w:val="21"/>
              </w:numPr>
              <w:spacing w:line="276" w:lineRule="auto"/>
              <w:rPr>
                <w:rFonts w:ascii="Arial" w:hAnsi="Arial" w:cs="Arial"/>
              </w:rPr>
            </w:pPr>
            <w:r w:rsidRPr="006A4E19">
              <w:rPr>
                <w:rFonts w:ascii="Arial" w:hAnsi="Arial" w:cs="Arial"/>
              </w:rPr>
              <w:t xml:space="preserve">Borrowers with items that are 3 weeks overdue will be invoiced for the full replacement cost of the item plus a £5 admin charge. Their remaining membership may be forfeited and they may not be allowed to </w:t>
            </w:r>
            <w:proofErr w:type="spellStart"/>
            <w:r w:rsidRPr="006A4E19">
              <w:rPr>
                <w:rFonts w:ascii="Arial" w:hAnsi="Arial" w:cs="Arial"/>
              </w:rPr>
              <w:t>rejoin</w:t>
            </w:r>
            <w:proofErr w:type="spellEnd"/>
            <w:r w:rsidRPr="006A4E19">
              <w:rPr>
                <w:rFonts w:ascii="Arial" w:hAnsi="Arial" w:cs="Arial"/>
              </w:rPr>
              <w:t>.</w:t>
            </w:r>
          </w:p>
          <w:p w:rsidR="00B401E0" w:rsidRPr="006A4E19" w:rsidRDefault="006A4E19" w:rsidP="006A4E19">
            <w:pPr>
              <w:pStyle w:val="ListParagraph"/>
              <w:numPr>
                <w:ilvl w:val="0"/>
                <w:numId w:val="21"/>
              </w:numPr>
              <w:spacing w:line="276" w:lineRule="auto"/>
              <w:rPr>
                <w:rFonts w:asciiTheme="minorHAnsi" w:hAnsiTheme="minorHAnsi" w:cstheme="minorHAnsi"/>
              </w:rPr>
            </w:pPr>
            <w:r w:rsidRPr="006A4E19">
              <w:rPr>
                <w:rFonts w:ascii="Arial" w:hAnsi="Arial" w:cs="Arial"/>
              </w:rPr>
              <w:t>Library users found in breach of library etiquette will be asked to leave and repeat offenders may have their membership cancelled.</w:t>
            </w:r>
          </w:p>
        </w:tc>
      </w:tr>
    </w:tbl>
    <w:p w:rsidR="00121F9F" w:rsidRPr="00121F9F" w:rsidRDefault="00121F9F" w:rsidP="00B401E0">
      <w:pPr>
        <w:rPr>
          <w:sz w:val="22"/>
          <w:szCs w:val="24"/>
        </w:rPr>
      </w:pPr>
    </w:p>
    <w:sectPr w:rsidR="00121F9F" w:rsidRPr="00121F9F" w:rsidSect="0020770E">
      <w:footerReference w:type="even" r:id="rId9"/>
      <w:footerReference w:type="default" r:id="rId10"/>
      <w:headerReference w:type="first" r:id="rId11"/>
      <w:pgSz w:w="11906" w:h="16838"/>
      <w:pgMar w:top="1440" w:right="1797" w:bottom="1440" w:left="1797"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24D3" w:rsidRDefault="006124D3">
      <w:r>
        <w:separator/>
      </w:r>
    </w:p>
  </w:endnote>
  <w:endnote w:type="continuationSeparator" w:id="0">
    <w:p w:rsidR="006124D3" w:rsidRDefault="0061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ma Gothic E Regular">
    <w:panose1 w:val="04050503020B02020202"/>
    <w:charset w:val="00"/>
    <w:family w:val="decorative"/>
    <w:notTrueType/>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86" w:rsidRDefault="003E128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E1286" w:rsidRDefault="003E1286" w:rsidP="00A936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1286" w:rsidRDefault="003E1286"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3EEC">
      <w:rPr>
        <w:rStyle w:val="PageNumber"/>
        <w:noProof/>
      </w:rPr>
      <w:t>5</w:t>
    </w:r>
    <w:r>
      <w:rPr>
        <w:rStyle w:val="PageNumber"/>
      </w:rPr>
      <w:fldChar w:fldCharType="end"/>
    </w:r>
  </w:p>
  <w:p w:rsidR="003E1286" w:rsidRPr="00B21D29" w:rsidRDefault="003E1286" w:rsidP="00B21D29">
    <w:pPr>
      <w:pStyle w:val="Footer"/>
      <w:ind w:right="360"/>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24D3" w:rsidRDefault="006124D3">
      <w:r>
        <w:separator/>
      </w:r>
    </w:p>
  </w:footnote>
  <w:footnote w:type="continuationSeparator" w:id="0">
    <w:p w:rsidR="006124D3" w:rsidRDefault="006124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4459" w:rsidRDefault="004C4459" w:rsidP="004C4459">
    <w:pPr>
      <w:pStyle w:val="Header"/>
      <w:rPr>
        <w:rFonts w:ascii="Rama Gothic E Regular" w:hAnsi="Rama Gothic E Regular"/>
        <w:b/>
        <w:color w:val="1F4E79" w:themeColor="accent1" w:themeShade="80"/>
        <w:sz w:val="40"/>
      </w:rPr>
    </w:pPr>
    <w:bookmarkStart w:id="1" w:name="_Hlk129256138"/>
    <w:bookmarkStart w:id="2" w:name="_Hlk129256139"/>
    <w:bookmarkStart w:id="3" w:name="_Hlk129257659"/>
    <w:bookmarkStart w:id="4" w:name="_Hlk129257660"/>
    <w:r>
      <w:rPr>
        <w:noProof/>
        <w:lang w:eastAsia="en-GB"/>
      </w:rPr>
      <w:drawing>
        <wp:anchor distT="0" distB="0" distL="114300" distR="114300" simplePos="0" relativeHeight="251659776" behindDoc="1" locked="0" layoutInCell="1" allowOverlap="1" wp14:anchorId="3884359B" wp14:editId="43094590">
          <wp:simplePos x="0" y="0"/>
          <wp:positionH relativeFrom="margin">
            <wp:posOffset>4191000</wp:posOffset>
          </wp:positionH>
          <wp:positionV relativeFrom="paragraph">
            <wp:posOffset>22860</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4459" w:rsidRDefault="004C4459" w:rsidP="004C4459">
    <w:pPr>
      <w:pStyle w:val="Header"/>
      <w:rPr>
        <w:rFonts w:ascii="Rama Gothic E Regular" w:hAnsi="Rama Gothic E Regular"/>
        <w:b/>
        <w:color w:val="1F4E79" w:themeColor="accent1" w:themeShade="80"/>
        <w:sz w:val="56"/>
      </w:rPr>
    </w:pPr>
    <w:r>
      <w:rPr>
        <w:rFonts w:ascii="Rama Gothic E Regular" w:hAnsi="Rama Gothic E Regular"/>
        <w:b/>
        <w:color w:val="1F4E79" w:themeColor="accent1" w:themeShade="80"/>
        <w:sz w:val="56"/>
      </w:rPr>
      <w:t>External Library Membership Policy</w:t>
    </w:r>
  </w:p>
  <w:p w:rsidR="004C4459" w:rsidRPr="00266819" w:rsidRDefault="004C4459" w:rsidP="004C4459">
    <w:pPr>
      <w:pStyle w:val="Header"/>
      <w:rPr>
        <w:rFonts w:ascii="Rama Gothic E Regular" w:hAnsi="Rama Gothic E Regular"/>
        <w:sz w:val="48"/>
      </w:rPr>
    </w:pPr>
    <w:r>
      <w:rPr>
        <w:rFonts w:ascii="Rama Gothic E Regular" w:hAnsi="Rama Gothic E Regular"/>
        <w:sz w:val="48"/>
      </w:rPr>
      <w:t>2023-24</w:t>
    </w:r>
    <w:bookmarkEnd w:id="1"/>
    <w:bookmarkEnd w:id="2"/>
    <w:bookmarkEnd w:id="3"/>
    <w:bookmarkEnd w:id="4"/>
  </w:p>
  <w:p w:rsidR="0020770E" w:rsidRDefault="00207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608D"/>
    <w:multiLevelType w:val="hybridMultilevel"/>
    <w:tmpl w:val="AC5CED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C6488"/>
    <w:multiLevelType w:val="hybridMultilevel"/>
    <w:tmpl w:val="192AE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56F4C"/>
    <w:multiLevelType w:val="hybridMultilevel"/>
    <w:tmpl w:val="07163336"/>
    <w:lvl w:ilvl="0" w:tplc="251852EE">
      <w:start w:val="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06223"/>
    <w:multiLevelType w:val="hybridMultilevel"/>
    <w:tmpl w:val="6584E366"/>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60E22F3"/>
    <w:multiLevelType w:val="hybridMultilevel"/>
    <w:tmpl w:val="265C0B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94B6A06"/>
    <w:multiLevelType w:val="hybridMultilevel"/>
    <w:tmpl w:val="DE60B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5B567F"/>
    <w:multiLevelType w:val="hybridMultilevel"/>
    <w:tmpl w:val="EDC43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B47ACC"/>
    <w:multiLevelType w:val="hybridMultilevel"/>
    <w:tmpl w:val="14BA9DAA"/>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DE61EB"/>
    <w:multiLevelType w:val="hybridMultilevel"/>
    <w:tmpl w:val="956E471E"/>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4651FE9"/>
    <w:multiLevelType w:val="hybridMultilevel"/>
    <w:tmpl w:val="B3347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2A11CA"/>
    <w:multiLevelType w:val="hybridMultilevel"/>
    <w:tmpl w:val="4E22E6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BC4C1C"/>
    <w:multiLevelType w:val="hybridMultilevel"/>
    <w:tmpl w:val="93F83690"/>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E29439A"/>
    <w:multiLevelType w:val="hybridMultilevel"/>
    <w:tmpl w:val="4B567576"/>
    <w:lvl w:ilvl="0" w:tplc="C0DEB58A">
      <w:start w:val="2"/>
      <w:numFmt w:val="bullet"/>
      <w:lvlText w:val="-"/>
      <w:lvlJc w:val="left"/>
      <w:pPr>
        <w:tabs>
          <w:tab w:val="num" w:pos="1080"/>
        </w:tabs>
        <w:ind w:left="1080" w:hanging="360"/>
      </w:pPr>
      <w:rPr>
        <w:rFonts w:ascii="Arial" w:eastAsia="Times New Roman"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4E75E46"/>
    <w:multiLevelType w:val="hybridMultilevel"/>
    <w:tmpl w:val="C29EA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7837B6"/>
    <w:multiLevelType w:val="hybridMultilevel"/>
    <w:tmpl w:val="DB4A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6050B9"/>
    <w:multiLevelType w:val="hybridMultilevel"/>
    <w:tmpl w:val="9A5E843A"/>
    <w:lvl w:ilvl="0" w:tplc="08090011">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6A2D0E3E"/>
    <w:multiLevelType w:val="multilevel"/>
    <w:tmpl w:val="4B567576"/>
    <w:lvl w:ilvl="0">
      <w:start w:val="2"/>
      <w:numFmt w:val="bullet"/>
      <w:lvlText w:val="-"/>
      <w:lvlJc w:val="left"/>
      <w:pPr>
        <w:tabs>
          <w:tab w:val="num" w:pos="1080"/>
        </w:tabs>
        <w:ind w:left="1080" w:hanging="360"/>
      </w:pPr>
      <w:rPr>
        <w:rFonts w:ascii="Arial" w:eastAsia="Times New Roman" w:hAnsi="Arial" w:cs="Aria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E3D70CF"/>
    <w:multiLevelType w:val="hybridMultilevel"/>
    <w:tmpl w:val="2230F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78003E"/>
    <w:multiLevelType w:val="hybridMultilevel"/>
    <w:tmpl w:val="EBFCAB00"/>
    <w:lvl w:ilvl="0" w:tplc="C0DEB58A">
      <w:start w:val="2"/>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316600F"/>
    <w:multiLevelType w:val="hybridMultilevel"/>
    <w:tmpl w:val="D0F85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2506B7"/>
    <w:multiLevelType w:val="hybridMultilevel"/>
    <w:tmpl w:val="A240F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8"/>
  </w:num>
  <w:num w:numId="4">
    <w:abstractNumId w:val="8"/>
  </w:num>
  <w:num w:numId="5">
    <w:abstractNumId w:val="12"/>
  </w:num>
  <w:num w:numId="6">
    <w:abstractNumId w:val="16"/>
  </w:num>
  <w:num w:numId="7">
    <w:abstractNumId w:val="3"/>
  </w:num>
  <w:num w:numId="8">
    <w:abstractNumId w:val="4"/>
  </w:num>
  <w:num w:numId="9">
    <w:abstractNumId w:val="0"/>
  </w:num>
  <w:num w:numId="10">
    <w:abstractNumId w:val="11"/>
  </w:num>
  <w:num w:numId="11">
    <w:abstractNumId w:val="6"/>
  </w:num>
  <w:num w:numId="12">
    <w:abstractNumId w:val="9"/>
  </w:num>
  <w:num w:numId="13">
    <w:abstractNumId w:val="2"/>
  </w:num>
  <w:num w:numId="14">
    <w:abstractNumId w:val="5"/>
  </w:num>
  <w:num w:numId="15">
    <w:abstractNumId w:val="13"/>
  </w:num>
  <w:num w:numId="16">
    <w:abstractNumId w:val="14"/>
  </w:num>
  <w:num w:numId="17">
    <w:abstractNumId w:val="19"/>
  </w:num>
  <w:num w:numId="18">
    <w:abstractNumId w:val="17"/>
  </w:num>
  <w:num w:numId="19">
    <w:abstractNumId w:val="1"/>
  </w:num>
  <w:num w:numId="20">
    <w:abstractNumId w:val="1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4D3"/>
    <w:rsid w:val="00011A13"/>
    <w:rsid w:val="00022350"/>
    <w:rsid w:val="00041664"/>
    <w:rsid w:val="00067C11"/>
    <w:rsid w:val="00073368"/>
    <w:rsid w:val="00083396"/>
    <w:rsid w:val="00085C88"/>
    <w:rsid w:val="00096814"/>
    <w:rsid w:val="000A30B5"/>
    <w:rsid w:val="000C3A6C"/>
    <w:rsid w:val="000F2E89"/>
    <w:rsid w:val="00115A97"/>
    <w:rsid w:val="00121F9F"/>
    <w:rsid w:val="001229A1"/>
    <w:rsid w:val="001A37F4"/>
    <w:rsid w:val="001B1AD5"/>
    <w:rsid w:val="0020770E"/>
    <w:rsid w:val="0021706E"/>
    <w:rsid w:val="002249B5"/>
    <w:rsid w:val="0023428E"/>
    <w:rsid w:val="0024122C"/>
    <w:rsid w:val="002461A6"/>
    <w:rsid w:val="0025399A"/>
    <w:rsid w:val="00257010"/>
    <w:rsid w:val="00281BD6"/>
    <w:rsid w:val="002936A8"/>
    <w:rsid w:val="002E1144"/>
    <w:rsid w:val="002E5574"/>
    <w:rsid w:val="003144AA"/>
    <w:rsid w:val="0032124C"/>
    <w:rsid w:val="00341D52"/>
    <w:rsid w:val="003512AD"/>
    <w:rsid w:val="003536D0"/>
    <w:rsid w:val="00383B89"/>
    <w:rsid w:val="00392F4A"/>
    <w:rsid w:val="00396865"/>
    <w:rsid w:val="003D0273"/>
    <w:rsid w:val="003D6F6B"/>
    <w:rsid w:val="003D7F89"/>
    <w:rsid w:val="003E1286"/>
    <w:rsid w:val="003F69E3"/>
    <w:rsid w:val="004100DA"/>
    <w:rsid w:val="00432793"/>
    <w:rsid w:val="004451A9"/>
    <w:rsid w:val="00473B61"/>
    <w:rsid w:val="004979B8"/>
    <w:rsid w:val="004B7DAD"/>
    <w:rsid w:val="004C4459"/>
    <w:rsid w:val="004C7EED"/>
    <w:rsid w:val="0050467A"/>
    <w:rsid w:val="005056EF"/>
    <w:rsid w:val="00505835"/>
    <w:rsid w:val="00514FEF"/>
    <w:rsid w:val="0052071C"/>
    <w:rsid w:val="00525BD7"/>
    <w:rsid w:val="00527208"/>
    <w:rsid w:val="00542A6A"/>
    <w:rsid w:val="00564CB1"/>
    <w:rsid w:val="00583EEC"/>
    <w:rsid w:val="00587AB3"/>
    <w:rsid w:val="005A3A48"/>
    <w:rsid w:val="005B08EE"/>
    <w:rsid w:val="005C5854"/>
    <w:rsid w:val="005D2FDD"/>
    <w:rsid w:val="005F7F16"/>
    <w:rsid w:val="00611971"/>
    <w:rsid w:val="006124D3"/>
    <w:rsid w:val="006252AD"/>
    <w:rsid w:val="00632F12"/>
    <w:rsid w:val="00661E47"/>
    <w:rsid w:val="00662983"/>
    <w:rsid w:val="0069201B"/>
    <w:rsid w:val="006A4E19"/>
    <w:rsid w:val="006A77B1"/>
    <w:rsid w:val="006A7BD9"/>
    <w:rsid w:val="006B6C22"/>
    <w:rsid w:val="006E2EFA"/>
    <w:rsid w:val="006E5A0F"/>
    <w:rsid w:val="006F49F7"/>
    <w:rsid w:val="00711A70"/>
    <w:rsid w:val="00717F59"/>
    <w:rsid w:val="0074061D"/>
    <w:rsid w:val="007457D1"/>
    <w:rsid w:val="00771E72"/>
    <w:rsid w:val="00782526"/>
    <w:rsid w:val="007957AE"/>
    <w:rsid w:val="007D281D"/>
    <w:rsid w:val="007D5842"/>
    <w:rsid w:val="007E494A"/>
    <w:rsid w:val="00806B08"/>
    <w:rsid w:val="008269BE"/>
    <w:rsid w:val="008273C1"/>
    <w:rsid w:val="0085042D"/>
    <w:rsid w:val="00853B76"/>
    <w:rsid w:val="00854555"/>
    <w:rsid w:val="008618B6"/>
    <w:rsid w:val="008B2735"/>
    <w:rsid w:val="008D66E5"/>
    <w:rsid w:val="00913E70"/>
    <w:rsid w:val="009344EF"/>
    <w:rsid w:val="00963140"/>
    <w:rsid w:val="009710EF"/>
    <w:rsid w:val="00971CF7"/>
    <w:rsid w:val="00972BFD"/>
    <w:rsid w:val="0097717E"/>
    <w:rsid w:val="0098432E"/>
    <w:rsid w:val="00987561"/>
    <w:rsid w:val="009C23DD"/>
    <w:rsid w:val="009D2F97"/>
    <w:rsid w:val="009E0D78"/>
    <w:rsid w:val="00A01767"/>
    <w:rsid w:val="00A16AFA"/>
    <w:rsid w:val="00A630A4"/>
    <w:rsid w:val="00A93632"/>
    <w:rsid w:val="00AE5736"/>
    <w:rsid w:val="00B21D29"/>
    <w:rsid w:val="00B232C7"/>
    <w:rsid w:val="00B24442"/>
    <w:rsid w:val="00B401E0"/>
    <w:rsid w:val="00B542E1"/>
    <w:rsid w:val="00B67185"/>
    <w:rsid w:val="00B87F27"/>
    <w:rsid w:val="00B94CDB"/>
    <w:rsid w:val="00B971C5"/>
    <w:rsid w:val="00BB0CCD"/>
    <w:rsid w:val="00BB47DD"/>
    <w:rsid w:val="00BB7CCE"/>
    <w:rsid w:val="00BE51BC"/>
    <w:rsid w:val="00BF0526"/>
    <w:rsid w:val="00C77C71"/>
    <w:rsid w:val="00C83C23"/>
    <w:rsid w:val="00C84656"/>
    <w:rsid w:val="00CB5294"/>
    <w:rsid w:val="00CD4590"/>
    <w:rsid w:val="00CE155D"/>
    <w:rsid w:val="00D17282"/>
    <w:rsid w:val="00D207CB"/>
    <w:rsid w:val="00D47098"/>
    <w:rsid w:val="00D56A6E"/>
    <w:rsid w:val="00D80529"/>
    <w:rsid w:val="00DA08B4"/>
    <w:rsid w:val="00DC2F63"/>
    <w:rsid w:val="00DD3D45"/>
    <w:rsid w:val="00DD77D3"/>
    <w:rsid w:val="00DF2F92"/>
    <w:rsid w:val="00DF45BC"/>
    <w:rsid w:val="00E16A86"/>
    <w:rsid w:val="00E44711"/>
    <w:rsid w:val="00E51D5B"/>
    <w:rsid w:val="00E61D7D"/>
    <w:rsid w:val="00E80CBF"/>
    <w:rsid w:val="00EC30A0"/>
    <w:rsid w:val="00ED0C96"/>
    <w:rsid w:val="00EF6F6F"/>
    <w:rsid w:val="00F23347"/>
    <w:rsid w:val="00F51893"/>
    <w:rsid w:val="00F8194E"/>
    <w:rsid w:val="00F9634A"/>
    <w:rsid w:val="00FA42AA"/>
    <w:rsid w:val="00FB7118"/>
    <w:rsid w:val="00FD3238"/>
    <w:rsid w:val="00FE0B37"/>
    <w:rsid w:val="00FE1D24"/>
    <w:rsid w:val="00FE55B5"/>
    <w:rsid w:val="00FE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4F884D1"/>
  <w15:chartTrackingRefBased/>
  <w15:docId w15:val="{9F19559C-063A-4914-AFBC-E7A7A0F96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3">
    <w:name w:val="heading 3"/>
    <w:basedOn w:val="Normal"/>
    <w:next w:val="Normal"/>
    <w:link w:val="Heading3Char"/>
    <w:uiPriority w:val="9"/>
    <w:unhideWhenUsed/>
    <w:qFormat/>
    <w:rsid w:val="006124D3"/>
    <w:pPr>
      <w:keepNext/>
      <w:keepLines/>
      <w:spacing w:before="40" w:line="276" w:lineRule="auto"/>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3632"/>
    <w:pPr>
      <w:tabs>
        <w:tab w:val="center" w:pos="4320"/>
        <w:tab w:val="right" w:pos="8640"/>
      </w:tabs>
    </w:pPr>
  </w:style>
  <w:style w:type="character" w:styleId="PageNumber">
    <w:name w:val="page number"/>
    <w:basedOn w:val="DefaultParagraphFont"/>
    <w:rsid w:val="00A93632"/>
  </w:style>
  <w:style w:type="paragraph" w:styleId="Header">
    <w:name w:val="header"/>
    <w:basedOn w:val="Normal"/>
    <w:link w:val="HeaderChar"/>
    <w:rsid w:val="007D281D"/>
    <w:pPr>
      <w:tabs>
        <w:tab w:val="center" w:pos="4320"/>
        <w:tab w:val="right" w:pos="8640"/>
      </w:tabs>
    </w:pPr>
  </w:style>
  <w:style w:type="character" w:styleId="Hyperlink">
    <w:name w:val="Hyperlink"/>
    <w:rsid w:val="00E51D5B"/>
    <w:rPr>
      <w:color w:val="0000FF"/>
      <w:u w:val="single"/>
    </w:rPr>
  </w:style>
  <w:style w:type="paragraph" w:styleId="BalloonText">
    <w:name w:val="Balloon Text"/>
    <w:basedOn w:val="Normal"/>
    <w:semiHidden/>
    <w:rsid w:val="005D2FDD"/>
    <w:rPr>
      <w:rFonts w:ascii="Tahoma" w:hAnsi="Tahoma" w:cs="Tahoma"/>
      <w:sz w:val="16"/>
      <w:szCs w:val="16"/>
    </w:rPr>
  </w:style>
  <w:style w:type="table" w:styleId="TableGrid">
    <w:name w:val="Table Grid"/>
    <w:basedOn w:val="TableNormal"/>
    <w:uiPriority w:val="59"/>
    <w:rsid w:val="00E44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6F49F7"/>
    <w:rPr>
      <w:i/>
      <w:iCs/>
    </w:rPr>
  </w:style>
  <w:style w:type="character" w:styleId="CommentReference">
    <w:name w:val="annotation reference"/>
    <w:rsid w:val="009344EF"/>
    <w:rPr>
      <w:sz w:val="16"/>
      <w:szCs w:val="16"/>
    </w:rPr>
  </w:style>
  <w:style w:type="paragraph" w:styleId="CommentText">
    <w:name w:val="annotation text"/>
    <w:basedOn w:val="Normal"/>
    <w:link w:val="CommentTextChar"/>
    <w:rsid w:val="009344EF"/>
    <w:rPr>
      <w:sz w:val="20"/>
    </w:rPr>
  </w:style>
  <w:style w:type="character" w:customStyle="1" w:styleId="CommentTextChar">
    <w:name w:val="Comment Text Char"/>
    <w:link w:val="CommentText"/>
    <w:rsid w:val="009344EF"/>
    <w:rPr>
      <w:rFonts w:ascii="Arial" w:hAnsi="Arial"/>
      <w:lang w:eastAsia="en-US"/>
    </w:rPr>
  </w:style>
  <w:style w:type="paragraph" w:styleId="CommentSubject">
    <w:name w:val="annotation subject"/>
    <w:basedOn w:val="CommentText"/>
    <w:next w:val="CommentText"/>
    <w:link w:val="CommentSubjectChar"/>
    <w:rsid w:val="009344EF"/>
    <w:rPr>
      <w:b/>
      <w:bCs/>
    </w:rPr>
  </w:style>
  <w:style w:type="character" w:customStyle="1" w:styleId="CommentSubjectChar">
    <w:name w:val="Comment Subject Char"/>
    <w:link w:val="CommentSubject"/>
    <w:rsid w:val="009344EF"/>
    <w:rPr>
      <w:rFonts w:ascii="Arial" w:hAnsi="Arial"/>
      <w:b/>
      <w:bCs/>
      <w:lang w:eastAsia="en-US"/>
    </w:rPr>
  </w:style>
  <w:style w:type="paragraph" w:styleId="Revision">
    <w:name w:val="Revision"/>
    <w:hidden/>
    <w:uiPriority w:val="99"/>
    <w:semiHidden/>
    <w:rsid w:val="00611971"/>
    <w:rPr>
      <w:rFonts w:ascii="Arial" w:hAnsi="Arial"/>
      <w:sz w:val="24"/>
      <w:lang w:eastAsia="en-US"/>
    </w:rPr>
  </w:style>
  <w:style w:type="paragraph" w:customStyle="1" w:styleId="Default">
    <w:name w:val="Default"/>
    <w:rsid w:val="005C585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6124D3"/>
    <w:pPr>
      <w:ind w:left="720"/>
    </w:pPr>
    <w:rPr>
      <w:rFonts w:ascii="Calibri" w:eastAsia="Calibri" w:hAnsi="Calibri" w:cs="Calibri"/>
      <w:sz w:val="22"/>
      <w:szCs w:val="22"/>
    </w:rPr>
  </w:style>
  <w:style w:type="character" w:customStyle="1" w:styleId="Heading3Char">
    <w:name w:val="Heading 3 Char"/>
    <w:basedOn w:val="DefaultParagraphFont"/>
    <w:link w:val="Heading3"/>
    <w:uiPriority w:val="9"/>
    <w:rsid w:val="006124D3"/>
    <w:rPr>
      <w:rFonts w:asciiTheme="majorHAnsi" w:eastAsiaTheme="majorEastAsia" w:hAnsiTheme="majorHAnsi" w:cstheme="majorBidi"/>
      <w:color w:val="1F4D78" w:themeColor="accent1" w:themeShade="7F"/>
      <w:sz w:val="24"/>
      <w:szCs w:val="24"/>
      <w:lang w:eastAsia="en-US"/>
    </w:rPr>
  </w:style>
  <w:style w:type="paragraph" w:styleId="BodyText">
    <w:name w:val="Body Text"/>
    <w:basedOn w:val="Normal"/>
    <w:link w:val="BodyTextChar"/>
    <w:rsid w:val="006124D3"/>
    <w:pPr>
      <w:tabs>
        <w:tab w:val="left" w:pos="-1440"/>
        <w:tab w:val="left" w:pos="-720"/>
        <w:tab w:val="left" w:pos="-193"/>
      </w:tabs>
      <w:jc w:val="both"/>
    </w:pPr>
    <w:rPr>
      <w:rFonts w:cs="Arial"/>
      <w:szCs w:val="24"/>
    </w:rPr>
  </w:style>
  <w:style w:type="character" w:customStyle="1" w:styleId="BodyTextChar">
    <w:name w:val="Body Text Char"/>
    <w:basedOn w:val="DefaultParagraphFont"/>
    <w:link w:val="BodyText"/>
    <w:rsid w:val="006124D3"/>
    <w:rPr>
      <w:rFonts w:ascii="Arial" w:hAnsi="Arial" w:cs="Arial"/>
      <w:sz w:val="24"/>
      <w:szCs w:val="24"/>
      <w:lang w:eastAsia="en-US"/>
    </w:rPr>
  </w:style>
  <w:style w:type="character" w:customStyle="1" w:styleId="HeaderChar">
    <w:name w:val="Header Char"/>
    <w:basedOn w:val="DefaultParagraphFont"/>
    <w:link w:val="Header"/>
    <w:rsid w:val="004C4459"/>
    <w:rPr>
      <w:rFonts w:ascii="Arial" w:hAnsi="Arial"/>
      <w:sz w:val="24"/>
      <w:lang w:eastAsia="en-US"/>
    </w:rPr>
  </w:style>
  <w:style w:type="character" w:styleId="UnresolvedMention">
    <w:name w:val="Unresolved Mention"/>
    <w:basedOn w:val="DefaultParagraphFont"/>
    <w:uiPriority w:val="99"/>
    <w:semiHidden/>
    <w:unhideWhenUsed/>
    <w:rsid w:val="004C4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quality@leedsconservatoire.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6FB1E-996B-4A8B-A024-2A503F8F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1354</Words>
  <Characters>7005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Policy template</vt:lpstr>
    </vt:vector>
  </TitlesOfParts>
  <Company>Leeds College of Music</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subject/>
  <dc:creator>Turner,Jack</dc:creator>
  <cp:keywords/>
  <cp:lastModifiedBy>Cohen,Hayden</cp:lastModifiedBy>
  <cp:revision>4</cp:revision>
  <cp:lastPrinted>2015-11-09T09:20:00Z</cp:lastPrinted>
  <dcterms:created xsi:type="dcterms:W3CDTF">2023-03-09T12:46:00Z</dcterms:created>
  <dcterms:modified xsi:type="dcterms:W3CDTF">2023-04-25T11:48:00Z</dcterms:modified>
  <cp:contentStatus/>
</cp:coreProperties>
</file>