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8CE" w:rsidRDefault="00BB68CE" w:rsidP="00BB1AA1">
      <w:pPr>
        <w:spacing w:after="0" w:line="240" w:lineRule="auto"/>
        <w:rPr>
          <w:rFonts w:ascii="Rama Gothic E Regular" w:hAnsi="Rama Gothic E Regular"/>
          <w:sz w:val="40"/>
        </w:rPr>
      </w:pPr>
    </w:p>
    <w:tbl>
      <w:tblPr>
        <w:tblStyle w:val="TableGrid"/>
        <w:tblW w:w="0" w:type="auto"/>
        <w:tblLook w:val="04A0" w:firstRow="1" w:lastRow="0" w:firstColumn="1" w:lastColumn="0" w:noHBand="0" w:noVBand="1"/>
      </w:tblPr>
      <w:tblGrid>
        <w:gridCol w:w="2972"/>
        <w:gridCol w:w="6044"/>
      </w:tblGrid>
      <w:tr w:rsidR="00BB1AA1" w:rsidTr="007450B1">
        <w:tc>
          <w:tcPr>
            <w:tcW w:w="2972" w:type="dxa"/>
            <w:shd w:val="clear" w:color="auto" w:fill="BDD6EE" w:themeFill="accent1" w:themeFillTint="66"/>
          </w:tcPr>
          <w:p w:rsidR="00BB1AA1" w:rsidRPr="007450B1" w:rsidRDefault="00F2342B" w:rsidP="00BB1AA1">
            <w:pPr>
              <w:rPr>
                <w:rFonts w:cstheme="minorHAnsi"/>
                <w:b/>
                <w:sz w:val="24"/>
                <w:szCs w:val="24"/>
              </w:rPr>
            </w:pPr>
            <w:r w:rsidRPr="007450B1">
              <w:rPr>
                <w:rFonts w:cstheme="minorHAnsi"/>
                <w:b/>
                <w:sz w:val="24"/>
                <w:szCs w:val="24"/>
              </w:rPr>
              <w:t>Revision number</w:t>
            </w:r>
            <w:r w:rsidR="00BB1AA1" w:rsidRPr="007450B1">
              <w:rPr>
                <w:rFonts w:cstheme="minorHAnsi"/>
                <w:b/>
                <w:sz w:val="24"/>
                <w:szCs w:val="24"/>
              </w:rPr>
              <w:t>:</w:t>
            </w:r>
          </w:p>
        </w:tc>
        <w:tc>
          <w:tcPr>
            <w:tcW w:w="6044" w:type="dxa"/>
          </w:tcPr>
          <w:p w:rsidR="00BB1AA1" w:rsidRPr="009B47B3" w:rsidRDefault="002E6456" w:rsidP="00BB1AA1">
            <w:pPr>
              <w:rPr>
                <w:rFonts w:cstheme="minorHAnsi"/>
                <w:sz w:val="24"/>
              </w:rPr>
            </w:pPr>
            <w:r>
              <w:rPr>
                <w:rFonts w:cstheme="minorHAnsi"/>
                <w:sz w:val="24"/>
              </w:rPr>
              <w:t>4</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Applicable from:</w:t>
            </w:r>
          </w:p>
        </w:tc>
        <w:tc>
          <w:tcPr>
            <w:tcW w:w="6044" w:type="dxa"/>
          </w:tcPr>
          <w:p w:rsidR="00BB1AA1" w:rsidRPr="009B47B3" w:rsidRDefault="002E6456" w:rsidP="00BB1AA1">
            <w:pPr>
              <w:rPr>
                <w:rFonts w:cstheme="minorHAnsi"/>
                <w:sz w:val="24"/>
              </w:rPr>
            </w:pPr>
            <w:r>
              <w:rPr>
                <w:rFonts w:cstheme="minorHAnsi"/>
                <w:sz w:val="24"/>
              </w:rPr>
              <w:t>31</w:t>
            </w:r>
            <w:r w:rsidRPr="002E6456">
              <w:rPr>
                <w:rFonts w:cstheme="minorHAnsi"/>
                <w:sz w:val="24"/>
                <w:vertAlign w:val="superscript"/>
              </w:rPr>
              <w:t>st</w:t>
            </w:r>
            <w:r>
              <w:rPr>
                <w:rFonts w:cstheme="minorHAnsi"/>
                <w:sz w:val="24"/>
              </w:rPr>
              <w:t xml:space="preserve"> March 2023</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Approved by:</w:t>
            </w:r>
          </w:p>
        </w:tc>
        <w:tc>
          <w:tcPr>
            <w:tcW w:w="6044" w:type="dxa"/>
          </w:tcPr>
          <w:p w:rsidR="00BB1AA1" w:rsidRPr="009B47B3" w:rsidRDefault="00F2342B" w:rsidP="00BB1AA1">
            <w:pPr>
              <w:rPr>
                <w:rFonts w:cstheme="minorHAnsi"/>
                <w:sz w:val="24"/>
              </w:rPr>
            </w:pPr>
            <w:r w:rsidRPr="009B47B3">
              <w:rPr>
                <w:rFonts w:cstheme="minorHAnsi"/>
                <w:sz w:val="24"/>
              </w:rPr>
              <w:t>Academic Council</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Date of approval:</w:t>
            </w:r>
          </w:p>
        </w:tc>
        <w:tc>
          <w:tcPr>
            <w:tcW w:w="6044" w:type="dxa"/>
          </w:tcPr>
          <w:p w:rsidR="00BB1AA1" w:rsidRPr="009B47B3" w:rsidRDefault="002E6456" w:rsidP="00BB1AA1">
            <w:pPr>
              <w:rPr>
                <w:rFonts w:cstheme="minorHAnsi"/>
                <w:sz w:val="24"/>
              </w:rPr>
            </w:pPr>
            <w:r>
              <w:rPr>
                <w:rFonts w:cstheme="minorHAnsi"/>
                <w:sz w:val="24"/>
              </w:rPr>
              <w:t>31</w:t>
            </w:r>
            <w:r w:rsidRPr="002E6456">
              <w:rPr>
                <w:rFonts w:cstheme="minorHAnsi"/>
                <w:sz w:val="24"/>
                <w:vertAlign w:val="superscript"/>
              </w:rPr>
              <w:t>st</w:t>
            </w:r>
            <w:r>
              <w:rPr>
                <w:rFonts w:cstheme="minorHAnsi"/>
                <w:sz w:val="24"/>
              </w:rPr>
              <w:t xml:space="preserve"> March 2023</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Date of next review:</w:t>
            </w:r>
          </w:p>
        </w:tc>
        <w:tc>
          <w:tcPr>
            <w:tcW w:w="6044" w:type="dxa"/>
          </w:tcPr>
          <w:p w:rsidR="00BB1AA1" w:rsidRPr="009B47B3" w:rsidRDefault="000D0319" w:rsidP="00BB1AA1">
            <w:pPr>
              <w:rPr>
                <w:rFonts w:cstheme="minorHAnsi"/>
                <w:sz w:val="24"/>
              </w:rPr>
            </w:pPr>
            <w:r>
              <w:rPr>
                <w:rFonts w:cstheme="minorHAnsi"/>
                <w:sz w:val="24"/>
              </w:rPr>
              <w:t>Ju</w:t>
            </w:r>
            <w:r w:rsidR="002E6456">
              <w:rPr>
                <w:rFonts w:cstheme="minorHAnsi"/>
                <w:sz w:val="24"/>
              </w:rPr>
              <w:t>ne 2024</w:t>
            </w:r>
          </w:p>
        </w:tc>
      </w:tr>
      <w:tr w:rsidR="00BB68CE" w:rsidTr="007450B1">
        <w:tc>
          <w:tcPr>
            <w:tcW w:w="2972" w:type="dxa"/>
            <w:shd w:val="clear" w:color="auto" w:fill="BDD6EE" w:themeFill="accent1" w:themeFillTint="66"/>
          </w:tcPr>
          <w:p w:rsidR="00BB68CE" w:rsidRPr="007450B1" w:rsidRDefault="00BB68CE" w:rsidP="00BB1AA1">
            <w:pPr>
              <w:rPr>
                <w:rFonts w:cstheme="minorHAnsi"/>
                <w:b/>
                <w:sz w:val="24"/>
                <w:szCs w:val="24"/>
              </w:rPr>
            </w:pPr>
            <w:r w:rsidRPr="007450B1">
              <w:rPr>
                <w:rFonts w:cstheme="minorHAnsi"/>
                <w:b/>
                <w:sz w:val="24"/>
                <w:szCs w:val="24"/>
              </w:rPr>
              <w:t>Scope of policy (audience):</w:t>
            </w:r>
          </w:p>
        </w:tc>
        <w:tc>
          <w:tcPr>
            <w:tcW w:w="6044" w:type="dxa"/>
          </w:tcPr>
          <w:p w:rsidR="00BB68CE" w:rsidRPr="009B47B3" w:rsidRDefault="000D0319" w:rsidP="00BB1AA1">
            <w:pPr>
              <w:rPr>
                <w:rFonts w:cstheme="minorHAnsi"/>
                <w:sz w:val="24"/>
              </w:rPr>
            </w:pPr>
            <w:r>
              <w:rPr>
                <w:rFonts w:cstheme="minorHAnsi"/>
                <w:sz w:val="24"/>
              </w:rPr>
              <w:t>Staff, Prospective Students, Parents/Carers of Prospective Students, Advisors, Agents</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Policy</w:t>
            </w:r>
            <w:r w:rsidR="00BB68CE" w:rsidRPr="007450B1">
              <w:rPr>
                <w:rFonts w:cstheme="minorHAnsi"/>
                <w:b/>
                <w:sz w:val="24"/>
                <w:szCs w:val="24"/>
              </w:rPr>
              <w:t>holder:</w:t>
            </w:r>
          </w:p>
        </w:tc>
        <w:tc>
          <w:tcPr>
            <w:tcW w:w="6044" w:type="dxa"/>
          </w:tcPr>
          <w:p w:rsidR="00BB1AA1" w:rsidRPr="000279F8" w:rsidRDefault="002E6456" w:rsidP="00BB1AA1">
            <w:pPr>
              <w:rPr>
                <w:rFonts w:cstheme="minorHAnsi"/>
                <w:sz w:val="24"/>
                <w:szCs w:val="24"/>
              </w:rPr>
            </w:pPr>
            <w:r w:rsidRPr="000279F8">
              <w:rPr>
                <w:rFonts w:cstheme="minorHAnsi"/>
                <w:sz w:val="24"/>
                <w:szCs w:val="24"/>
              </w:rPr>
              <w:t>D</w:t>
            </w:r>
            <w:r w:rsidRPr="000279F8">
              <w:rPr>
                <w:sz w:val="24"/>
                <w:szCs w:val="24"/>
              </w:rPr>
              <w:t xml:space="preserve">irector of Student Recruitment and Marketing </w:t>
            </w:r>
          </w:p>
        </w:tc>
      </w:tr>
      <w:tr w:rsidR="00F2342B" w:rsidTr="007450B1">
        <w:tc>
          <w:tcPr>
            <w:tcW w:w="2972" w:type="dxa"/>
            <w:shd w:val="clear" w:color="auto" w:fill="BDD6EE" w:themeFill="accent1" w:themeFillTint="66"/>
          </w:tcPr>
          <w:p w:rsidR="00F2342B" w:rsidRPr="007450B1" w:rsidRDefault="00F2342B" w:rsidP="00BB1AA1">
            <w:pPr>
              <w:rPr>
                <w:rFonts w:cstheme="minorHAnsi"/>
                <w:b/>
                <w:sz w:val="24"/>
                <w:szCs w:val="24"/>
              </w:rPr>
            </w:pPr>
            <w:r w:rsidRPr="007450B1">
              <w:rPr>
                <w:rFonts w:cstheme="minorHAnsi"/>
                <w:b/>
                <w:sz w:val="24"/>
                <w:szCs w:val="24"/>
              </w:rPr>
              <w:t>Contact:</w:t>
            </w:r>
          </w:p>
        </w:tc>
        <w:tc>
          <w:tcPr>
            <w:tcW w:w="6044" w:type="dxa"/>
          </w:tcPr>
          <w:p w:rsidR="00F2342B" w:rsidRPr="000279F8" w:rsidRDefault="002E6456" w:rsidP="00BB1AA1">
            <w:pPr>
              <w:rPr>
                <w:rFonts w:cstheme="minorHAnsi"/>
                <w:sz w:val="24"/>
                <w:szCs w:val="24"/>
              </w:rPr>
            </w:pPr>
            <w:r w:rsidRPr="000279F8">
              <w:rPr>
                <w:rFonts w:cstheme="minorHAnsi"/>
                <w:sz w:val="24"/>
                <w:szCs w:val="24"/>
              </w:rPr>
              <w:t>q</w:t>
            </w:r>
            <w:r w:rsidRPr="000279F8">
              <w:rPr>
                <w:sz w:val="24"/>
                <w:szCs w:val="24"/>
              </w:rPr>
              <w:t>uality@leedsconservatoire.ac.uk</w:t>
            </w:r>
            <w:r w:rsidR="00F2342B" w:rsidRPr="000279F8">
              <w:rPr>
                <w:rFonts w:cstheme="minorHAnsi"/>
                <w:sz w:val="24"/>
                <w:szCs w:val="24"/>
              </w:rPr>
              <w:t xml:space="preserve"> </w:t>
            </w:r>
          </w:p>
        </w:tc>
      </w:tr>
      <w:tr w:rsidR="00F2342B" w:rsidTr="007450B1">
        <w:tc>
          <w:tcPr>
            <w:tcW w:w="2972" w:type="dxa"/>
            <w:shd w:val="clear" w:color="auto" w:fill="BDD6EE" w:themeFill="accent1" w:themeFillTint="66"/>
          </w:tcPr>
          <w:p w:rsidR="00F2342B" w:rsidRPr="007450B1" w:rsidRDefault="00F2342B" w:rsidP="00BB1AA1">
            <w:pPr>
              <w:rPr>
                <w:rFonts w:cstheme="minorHAnsi"/>
                <w:b/>
                <w:sz w:val="24"/>
                <w:szCs w:val="24"/>
              </w:rPr>
            </w:pPr>
            <w:r w:rsidRPr="007450B1">
              <w:rPr>
                <w:rFonts w:cstheme="minorHAnsi"/>
                <w:b/>
                <w:sz w:val="24"/>
                <w:szCs w:val="24"/>
              </w:rPr>
              <w:t>Alternative formats:</w:t>
            </w:r>
          </w:p>
        </w:tc>
        <w:tc>
          <w:tcPr>
            <w:tcW w:w="6044" w:type="dxa"/>
          </w:tcPr>
          <w:p w:rsidR="00F2342B" w:rsidRPr="009B47B3" w:rsidRDefault="000D0319" w:rsidP="00BB1AA1">
            <w:pPr>
              <w:rPr>
                <w:rFonts w:cstheme="minorHAnsi"/>
                <w:sz w:val="24"/>
              </w:rPr>
            </w:pPr>
            <w:r>
              <w:rPr>
                <w:rFonts w:cstheme="minorHAnsi"/>
                <w:sz w:val="24"/>
              </w:rPr>
              <w:t>Audio, large font (on request)</w:t>
            </w:r>
          </w:p>
        </w:tc>
      </w:tr>
    </w:tbl>
    <w:p w:rsidR="00BB1AA1" w:rsidRDefault="00BB1AA1" w:rsidP="00BB1AA1">
      <w:pPr>
        <w:spacing w:after="0" w:line="240" w:lineRule="auto"/>
        <w:rPr>
          <w:rFonts w:ascii="Rama Gothic E Regular" w:hAnsi="Rama Gothic E Regular"/>
          <w:sz w:val="40"/>
        </w:rPr>
      </w:pPr>
    </w:p>
    <w:sdt>
      <w:sdtPr>
        <w:rPr>
          <w:rFonts w:asciiTheme="minorHAnsi" w:eastAsiaTheme="minorHAnsi" w:hAnsiTheme="minorHAnsi" w:cstheme="minorBidi"/>
          <w:color w:val="auto"/>
          <w:sz w:val="22"/>
          <w:szCs w:val="22"/>
          <w:lang w:val="en-GB"/>
        </w:rPr>
        <w:id w:val="1875571900"/>
        <w:docPartObj>
          <w:docPartGallery w:val="Table of Contents"/>
          <w:docPartUnique/>
        </w:docPartObj>
      </w:sdtPr>
      <w:sdtEndPr>
        <w:rPr>
          <w:b/>
          <w:bCs/>
          <w:noProof/>
        </w:rPr>
      </w:sdtEndPr>
      <w:sdtContent>
        <w:p w:rsidR="00BB68CE" w:rsidRPr="004A14B1" w:rsidRDefault="00BB68CE">
          <w:pPr>
            <w:pStyle w:val="TOCHeading"/>
            <w:rPr>
              <w:rFonts w:ascii="Rama Gothic E Regular" w:hAnsi="Rama Gothic E Regular"/>
              <w:b/>
              <w:color w:val="1F4E79" w:themeColor="accent1" w:themeShade="80"/>
            </w:rPr>
          </w:pPr>
          <w:r w:rsidRPr="004A14B1">
            <w:rPr>
              <w:rFonts w:ascii="Rama Gothic E Regular" w:hAnsi="Rama Gothic E Regular"/>
              <w:b/>
              <w:color w:val="1F4E79" w:themeColor="accent1" w:themeShade="80"/>
            </w:rPr>
            <w:t>Contents</w:t>
          </w:r>
        </w:p>
        <w:p w:rsidR="009F366C" w:rsidRPr="009F366C" w:rsidRDefault="00BB68CE">
          <w:pPr>
            <w:pStyle w:val="TOC1"/>
            <w:tabs>
              <w:tab w:val="right" w:leader="dot" w:pos="9016"/>
            </w:tabs>
            <w:rPr>
              <w:rFonts w:eastAsiaTheme="minorEastAsia" w:cstheme="minorHAnsi"/>
              <w:noProof/>
              <w:lang w:eastAsia="en-GB"/>
            </w:rPr>
          </w:pPr>
          <w:r w:rsidRPr="00CA28CE">
            <w:rPr>
              <w:rFonts w:cstheme="minorHAnsi"/>
              <w:bCs/>
              <w:noProof/>
            </w:rPr>
            <w:fldChar w:fldCharType="begin"/>
          </w:r>
          <w:r w:rsidRPr="00CA28CE">
            <w:rPr>
              <w:rFonts w:cstheme="minorHAnsi"/>
              <w:bCs/>
              <w:noProof/>
            </w:rPr>
            <w:instrText xml:space="preserve"> TOC \o "1-3" \h \z \u </w:instrText>
          </w:r>
          <w:r w:rsidRPr="00CA28CE">
            <w:rPr>
              <w:rFonts w:cstheme="minorHAnsi"/>
              <w:bCs/>
              <w:noProof/>
            </w:rPr>
            <w:fldChar w:fldCharType="separate"/>
          </w:r>
          <w:hyperlink w:anchor="_Toc15540311" w:history="1">
            <w:r w:rsidR="009F366C" w:rsidRPr="009F366C">
              <w:rPr>
                <w:rStyle w:val="Hyperlink"/>
                <w:rFonts w:cstheme="minorHAnsi"/>
                <w:noProof/>
              </w:rPr>
              <w:t>Introduction</w:t>
            </w:r>
            <w:r w:rsidR="009F366C" w:rsidRPr="009F366C">
              <w:rPr>
                <w:rFonts w:cstheme="minorHAnsi"/>
                <w:noProof/>
                <w:webHidden/>
              </w:rPr>
              <w:tab/>
            </w:r>
            <w:r w:rsidR="009F366C" w:rsidRPr="009F366C">
              <w:rPr>
                <w:rFonts w:cstheme="minorHAnsi"/>
                <w:noProof/>
                <w:webHidden/>
              </w:rPr>
              <w:fldChar w:fldCharType="begin"/>
            </w:r>
            <w:r w:rsidR="009F366C" w:rsidRPr="009F366C">
              <w:rPr>
                <w:rFonts w:cstheme="minorHAnsi"/>
                <w:noProof/>
                <w:webHidden/>
              </w:rPr>
              <w:instrText xml:space="preserve"> PAGEREF _Toc15540311 \h </w:instrText>
            </w:r>
            <w:r w:rsidR="009F366C" w:rsidRPr="009F366C">
              <w:rPr>
                <w:rFonts w:cstheme="minorHAnsi"/>
                <w:noProof/>
                <w:webHidden/>
              </w:rPr>
            </w:r>
            <w:r w:rsidR="009F366C" w:rsidRPr="009F366C">
              <w:rPr>
                <w:rFonts w:cstheme="minorHAnsi"/>
                <w:noProof/>
                <w:webHidden/>
              </w:rPr>
              <w:fldChar w:fldCharType="separate"/>
            </w:r>
            <w:r w:rsidR="00A31663">
              <w:rPr>
                <w:rFonts w:cstheme="minorHAnsi"/>
                <w:noProof/>
                <w:webHidden/>
              </w:rPr>
              <w:t>2</w:t>
            </w:r>
            <w:r w:rsidR="009F366C" w:rsidRPr="009F366C">
              <w:rPr>
                <w:rFonts w:cstheme="minorHAnsi"/>
                <w:noProof/>
                <w:webHidden/>
              </w:rPr>
              <w:fldChar w:fldCharType="end"/>
            </w:r>
          </w:hyperlink>
        </w:p>
        <w:p w:rsidR="009F366C" w:rsidRPr="009F366C" w:rsidRDefault="00D92043">
          <w:pPr>
            <w:pStyle w:val="TOC1"/>
            <w:tabs>
              <w:tab w:val="right" w:leader="dot" w:pos="9016"/>
            </w:tabs>
            <w:rPr>
              <w:rFonts w:eastAsiaTheme="minorEastAsia" w:cstheme="minorHAnsi"/>
              <w:noProof/>
              <w:lang w:eastAsia="en-GB"/>
            </w:rPr>
          </w:pPr>
          <w:hyperlink w:anchor="_Toc15540312" w:history="1">
            <w:r w:rsidR="009F366C" w:rsidRPr="009F366C">
              <w:rPr>
                <w:rStyle w:val="Hyperlink"/>
                <w:rFonts w:cstheme="minorHAnsi"/>
                <w:noProof/>
              </w:rPr>
              <w:t>Equality Impact Assessment Information</w:t>
            </w:r>
            <w:r w:rsidR="009F366C" w:rsidRPr="009F366C">
              <w:rPr>
                <w:rFonts w:cstheme="minorHAnsi"/>
                <w:noProof/>
                <w:webHidden/>
              </w:rPr>
              <w:tab/>
            </w:r>
            <w:r w:rsidR="009F366C" w:rsidRPr="009F366C">
              <w:rPr>
                <w:rFonts w:cstheme="minorHAnsi"/>
                <w:noProof/>
                <w:webHidden/>
              </w:rPr>
              <w:fldChar w:fldCharType="begin"/>
            </w:r>
            <w:r w:rsidR="009F366C" w:rsidRPr="009F366C">
              <w:rPr>
                <w:rFonts w:cstheme="minorHAnsi"/>
                <w:noProof/>
                <w:webHidden/>
              </w:rPr>
              <w:instrText xml:space="preserve"> PAGEREF _Toc15540312 \h </w:instrText>
            </w:r>
            <w:r w:rsidR="009F366C" w:rsidRPr="009F366C">
              <w:rPr>
                <w:rFonts w:cstheme="minorHAnsi"/>
                <w:noProof/>
                <w:webHidden/>
              </w:rPr>
            </w:r>
            <w:r w:rsidR="009F366C" w:rsidRPr="009F366C">
              <w:rPr>
                <w:rFonts w:cstheme="minorHAnsi"/>
                <w:noProof/>
                <w:webHidden/>
              </w:rPr>
              <w:fldChar w:fldCharType="separate"/>
            </w:r>
            <w:r w:rsidR="00A31663">
              <w:rPr>
                <w:rFonts w:cstheme="minorHAnsi"/>
                <w:noProof/>
                <w:webHidden/>
              </w:rPr>
              <w:t>2</w:t>
            </w:r>
            <w:r w:rsidR="009F366C" w:rsidRPr="009F366C">
              <w:rPr>
                <w:rFonts w:cstheme="minorHAnsi"/>
                <w:noProof/>
                <w:webHidden/>
              </w:rPr>
              <w:fldChar w:fldCharType="end"/>
            </w:r>
          </w:hyperlink>
        </w:p>
        <w:p w:rsidR="009F366C" w:rsidRPr="009F366C" w:rsidRDefault="00D92043">
          <w:pPr>
            <w:pStyle w:val="TOC1"/>
            <w:tabs>
              <w:tab w:val="right" w:leader="dot" w:pos="9016"/>
            </w:tabs>
            <w:rPr>
              <w:rFonts w:eastAsiaTheme="minorEastAsia" w:cstheme="minorHAnsi"/>
              <w:noProof/>
              <w:lang w:eastAsia="en-GB"/>
            </w:rPr>
          </w:pPr>
          <w:hyperlink w:anchor="_Toc15540313" w:history="1">
            <w:r w:rsidR="009F366C" w:rsidRPr="009F366C">
              <w:rPr>
                <w:rStyle w:val="Hyperlink"/>
                <w:rFonts w:cstheme="minorHAnsi"/>
                <w:noProof/>
              </w:rPr>
              <w:t>Definitions</w:t>
            </w:r>
            <w:r w:rsidR="009F366C" w:rsidRPr="009F366C">
              <w:rPr>
                <w:rFonts w:cstheme="minorHAnsi"/>
                <w:noProof/>
                <w:webHidden/>
              </w:rPr>
              <w:tab/>
            </w:r>
            <w:r w:rsidR="000D0319">
              <w:rPr>
                <w:rFonts w:cstheme="minorHAnsi"/>
                <w:noProof/>
                <w:webHidden/>
              </w:rPr>
              <w:t>3</w:t>
            </w:r>
          </w:hyperlink>
        </w:p>
        <w:p w:rsidR="009F366C" w:rsidRPr="009F366C" w:rsidRDefault="00D92043">
          <w:pPr>
            <w:pStyle w:val="TOC1"/>
            <w:tabs>
              <w:tab w:val="right" w:leader="dot" w:pos="9016"/>
            </w:tabs>
            <w:rPr>
              <w:rFonts w:eastAsiaTheme="minorEastAsia" w:cstheme="minorHAnsi"/>
              <w:noProof/>
              <w:lang w:eastAsia="en-GB"/>
            </w:rPr>
          </w:pPr>
          <w:hyperlink w:anchor="_Toc15540314" w:history="1">
            <w:r w:rsidR="009F366C" w:rsidRPr="009F366C">
              <w:rPr>
                <w:rStyle w:val="Hyperlink"/>
                <w:rFonts w:cstheme="minorHAnsi"/>
                <w:noProof/>
              </w:rPr>
              <w:t>Policy</w:t>
            </w:r>
            <w:r w:rsidR="009F366C" w:rsidRPr="009F366C">
              <w:rPr>
                <w:rFonts w:cstheme="minorHAnsi"/>
                <w:noProof/>
                <w:webHidden/>
              </w:rPr>
              <w:tab/>
            </w:r>
            <w:r w:rsidR="000D0319">
              <w:rPr>
                <w:rFonts w:cstheme="minorHAnsi"/>
                <w:noProof/>
                <w:webHidden/>
              </w:rPr>
              <w:t>3</w:t>
            </w:r>
          </w:hyperlink>
        </w:p>
        <w:p w:rsidR="009F366C" w:rsidRPr="009F366C" w:rsidRDefault="00D92043">
          <w:pPr>
            <w:pStyle w:val="TOC1"/>
            <w:tabs>
              <w:tab w:val="right" w:leader="dot" w:pos="9016"/>
            </w:tabs>
            <w:rPr>
              <w:rFonts w:eastAsiaTheme="minorEastAsia" w:cstheme="minorHAnsi"/>
              <w:noProof/>
              <w:lang w:eastAsia="en-GB"/>
            </w:rPr>
          </w:pPr>
          <w:hyperlink w:anchor="_Toc15540315" w:history="1">
            <w:r w:rsidR="009F366C" w:rsidRPr="009F366C">
              <w:rPr>
                <w:rStyle w:val="Hyperlink"/>
                <w:rFonts w:cstheme="minorHAnsi"/>
                <w:noProof/>
              </w:rPr>
              <w:t>Procedure</w:t>
            </w:r>
            <w:r w:rsidR="009F366C" w:rsidRPr="009F366C">
              <w:rPr>
                <w:rFonts w:cstheme="minorHAnsi"/>
                <w:noProof/>
                <w:webHidden/>
              </w:rPr>
              <w:tab/>
            </w:r>
            <w:r w:rsidR="009F366C" w:rsidRPr="009F366C">
              <w:rPr>
                <w:rFonts w:cstheme="minorHAnsi"/>
                <w:noProof/>
                <w:webHidden/>
              </w:rPr>
              <w:fldChar w:fldCharType="begin"/>
            </w:r>
            <w:r w:rsidR="009F366C" w:rsidRPr="009F366C">
              <w:rPr>
                <w:rFonts w:cstheme="minorHAnsi"/>
                <w:noProof/>
                <w:webHidden/>
              </w:rPr>
              <w:instrText xml:space="preserve"> PAGEREF _Toc15540315 \h </w:instrText>
            </w:r>
            <w:r w:rsidR="009F366C" w:rsidRPr="009F366C">
              <w:rPr>
                <w:rFonts w:cstheme="minorHAnsi"/>
                <w:noProof/>
                <w:webHidden/>
              </w:rPr>
            </w:r>
            <w:r w:rsidR="009F366C" w:rsidRPr="009F366C">
              <w:rPr>
                <w:rFonts w:cstheme="minorHAnsi"/>
                <w:noProof/>
                <w:webHidden/>
              </w:rPr>
              <w:fldChar w:fldCharType="separate"/>
            </w:r>
            <w:r w:rsidR="00A31663">
              <w:rPr>
                <w:rFonts w:cstheme="minorHAnsi"/>
                <w:noProof/>
                <w:webHidden/>
              </w:rPr>
              <w:t>3</w:t>
            </w:r>
            <w:r w:rsidR="009F366C" w:rsidRPr="009F366C">
              <w:rPr>
                <w:rFonts w:cstheme="minorHAnsi"/>
                <w:noProof/>
                <w:webHidden/>
              </w:rPr>
              <w:fldChar w:fldCharType="end"/>
            </w:r>
          </w:hyperlink>
        </w:p>
        <w:p w:rsidR="009F366C" w:rsidRPr="009F366C" w:rsidRDefault="00D92043">
          <w:pPr>
            <w:pStyle w:val="TOC1"/>
            <w:tabs>
              <w:tab w:val="right" w:leader="dot" w:pos="9016"/>
            </w:tabs>
            <w:rPr>
              <w:rFonts w:eastAsiaTheme="minorEastAsia" w:cstheme="minorHAnsi"/>
              <w:noProof/>
              <w:lang w:eastAsia="en-GB"/>
            </w:rPr>
          </w:pPr>
          <w:hyperlink w:anchor="_Toc15540316" w:history="1">
            <w:r w:rsidR="009F366C" w:rsidRPr="009F366C">
              <w:rPr>
                <w:rStyle w:val="Hyperlink"/>
                <w:rFonts w:cstheme="minorHAnsi"/>
                <w:noProof/>
              </w:rPr>
              <w:t>Breach of Policy</w:t>
            </w:r>
            <w:r w:rsidR="009F366C" w:rsidRPr="009F366C">
              <w:rPr>
                <w:rFonts w:cstheme="minorHAnsi"/>
                <w:noProof/>
                <w:webHidden/>
              </w:rPr>
              <w:tab/>
            </w:r>
            <w:r w:rsidR="000D0319">
              <w:rPr>
                <w:rFonts w:cstheme="minorHAnsi"/>
                <w:noProof/>
                <w:webHidden/>
              </w:rPr>
              <w:t>5</w:t>
            </w:r>
          </w:hyperlink>
        </w:p>
        <w:p w:rsidR="009F366C" w:rsidRPr="009F366C" w:rsidRDefault="00D92043">
          <w:pPr>
            <w:pStyle w:val="TOC1"/>
            <w:tabs>
              <w:tab w:val="right" w:leader="dot" w:pos="9016"/>
            </w:tabs>
            <w:rPr>
              <w:rFonts w:eastAsiaTheme="minorEastAsia" w:cstheme="minorHAnsi"/>
              <w:noProof/>
              <w:lang w:eastAsia="en-GB"/>
            </w:rPr>
          </w:pPr>
          <w:hyperlink w:anchor="_Toc15540317" w:history="1">
            <w:r w:rsidR="009F366C" w:rsidRPr="009F366C">
              <w:rPr>
                <w:rStyle w:val="Hyperlink"/>
                <w:rFonts w:cstheme="minorHAnsi"/>
                <w:noProof/>
              </w:rPr>
              <w:t>Appendix 1</w:t>
            </w:r>
            <w:r w:rsidR="009F366C" w:rsidRPr="009F366C">
              <w:rPr>
                <w:rFonts w:cstheme="minorHAnsi"/>
                <w:noProof/>
                <w:webHidden/>
              </w:rPr>
              <w:tab/>
            </w:r>
            <w:r w:rsidR="000D0319">
              <w:rPr>
                <w:rFonts w:cstheme="minorHAnsi"/>
                <w:noProof/>
                <w:webHidden/>
              </w:rPr>
              <w:t>6</w:t>
            </w:r>
          </w:hyperlink>
        </w:p>
        <w:p w:rsidR="00BB68CE" w:rsidRDefault="00BB68CE">
          <w:r w:rsidRPr="00CA28CE">
            <w:rPr>
              <w:rFonts w:cstheme="minorHAnsi"/>
              <w:bCs/>
              <w:noProof/>
            </w:rPr>
            <w:fldChar w:fldCharType="end"/>
          </w:r>
        </w:p>
      </w:sdtContent>
    </w:sdt>
    <w:p w:rsidR="00BB1AA1" w:rsidRDefault="00BB1AA1"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C67EE6" w:rsidRDefault="00C67EE6" w:rsidP="00BB1AA1">
      <w:pPr>
        <w:spacing w:after="0" w:line="240" w:lineRule="auto"/>
        <w:rPr>
          <w:rFonts w:ascii="Rama Gothic E Regular" w:hAnsi="Rama Gothic E Regular"/>
          <w:sz w:val="40"/>
        </w:rPr>
      </w:pPr>
    </w:p>
    <w:p w:rsidR="009F366C" w:rsidRDefault="009F366C" w:rsidP="00BB1AA1">
      <w:pPr>
        <w:spacing w:after="0" w:line="240" w:lineRule="auto"/>
        <w:rPr>
          <w:rFonts w:ascii="Rama Gothic E Regular" w:hAnsi="Rama Gothic E Regular"/>
          <w:sz w:val="40"/>
        </w:rPr>
      </w:pPr>
    </w:p>
    <w:p w:rsidR="009F366C" w:rsidRDefault="009F366C"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tbl>
      <w:tblPr>
        <w:tblStyle w:val="TableGrid"/>
        <w:tblW w:w="0" w:type="auto"/>
        <w:tblLook w:val="04A0" w:firstRow="1" w:lastRow="0" w:firstColumn="1" w:lastColumn="0" w:noHBand="0" w:noVBand="1"/>
      </w:tblPr>
      <w:tblGrid>
        <w:gridCol w:w="9016"/>
      </w:tblGrid>
      <w:tr w:rsidR="00BB68CE" w:rsidTr="00BB68CE">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24"/>
                <w:szCs w:val="24"/>
              </w:rPr>
            </w:pPr>
            <w:bookmarkStart w:id="0" w:name="_Toc15540311"/>
            <w:r w:rsidRPr="004E68A1">
              <w:rPr>
                <w:rFonts w:asciiTheme="minorHAnsi" w:hAnsiTheme="minorHAnsi" w:cstheme="minorHAnsi"/>
                <w:b/>
                <w:color w:val="auto"/>
                <w:sz w:val="24"/>
                <w:szCs w:val="24"/>
              </w:rPr>
              <w:t>Introduction</w:t>
            </w:r>
            <w:bookmarkEnd w:id="0"/>
          </w:p>
        </w:tc>
      </w:tr>
      <w:tr w:rsidR="00BB68CE" w:rsidTr="00BB68CE">
        <w:tc>
          <w:tcPr>
            <w:tcW w:w="9016" w:type="dxa"/>
          </w:tcPr>
          <w:p w:rsidR="000D0319" w:rsidRDefault="000D0319" w:rsidP="000D0319">
            <w:pPr>
              <w:rPr>
                <w:color w:val="000000"/>
              </w:rPr>
            </w:pPr>
            <w:r>
              <w:rPr>
                <w:color w:val="000000"/>
              </w:rPr>
              <w:t>Admissions procedures conform to the guiding principles relating to admissions, recruitment and widening access in the UK Quality Code for Higher Education:</w:t>
            </w:r>
          </w:p>
          <w:p w:rsidR="000D0319" w:rsidRDefault="000D0319" w:rsidP="000D0319">
            <w:pPr>
              <w:rPr>
                <w:color w:val="000000"/>
              </w:rPr>
            </w:pPr>
          </w:p>
          <w:p w:rsidR="000D0319" w:rsidRDefault="000D0319" w:rsidP="000D0319">
            <w:pPr>
              <w:numPr>
                <w:ilvl w:val="0"/>
                <w:numId w:val="12"/>
              </w:numPr>
              <w:rPr>
                <w:rFonts w:cs="Arial"/>
                <w:color w:val="000000"/>
              </w:rPr>
            </w:pPr>
            <w:r>
              <w:rPr>
                <w:rFonts w:cs="Arial"/>
                <w:color w:val="000000"/>
              </w:rPr>
              <w:t>Policies and procedures for application, selection and admission to higher education courses are transparent and accessible;</w:t>
            </w:r>
          </w:p>
          <w:p w:rsidR="000D0319" w:rsidRDefault="000D0319" w:rsidP="000D0319">
            <w:pPr>
              <w:ind w:left="720"/>
              <w:rPr>
                <w:rFonts w:cs="Arial"/>
                <w:color w:val="000000"/>
              </w:rPr>
            </w:pPr>
          </w:p>
          <w:p w:rsidR="000D0319" w:rsidRDefault="000D0319" w:rsidP="000D0319">
            <w:pPr>
              <w:numPr>
                <w:ilvl w:val="0"/>
                <w:numId w:val="12"/>
              </w:numPr>
              <w:rPr>
                <w:rFonts w:cs="Arial"/>
                <w:color w:val="000000"/>
              </w:rPr>
            </w:pPr>
            <w:r>
              <w:rPr>
                <w:rFonts w:cs="Arial"/>
                <w:color w:val="000000"/>
              </w:rPr>
              <w:t>Higher education providers use fair, reliable and appropriate assessment methods that enable them to select students with the potential to complete the course successfully;</w:t>
            </w:r>
          </w:p>
          <w:p w:rsidR="000D0319" w:rsidRDefault="000D0319" w:rsidP="000D0319">
            <w:pPr>
              <w:ind w:left="720"/>
              <w:rPr>
                <w:rFonts w:cs="Arial"/>
                <w:color w:val="000000"/>
              </w:rPr>
            </w:pPr>
          </w:p>
          <w:p w:rsidR="000D0319" w:rsidRDefault="000D0319" w:rsidP="000D0319">
            <w:pPr>
              <w:numPr>
                <w:ilvl w:val="0"/>
                <w:numId w:val="12"/>
              </w:numPr>
              <w:rPr>
                <w:rFonts w:cs="Arial"/>
                <w:color w:val="000000"/>
              </w:rPr>
            </w:pPr>
            <w:r>
              <w:rPr>
                <w:rFonts w:cs="Arial"/>
                <w:color w:val="000000"/>
              </w:rPr>
              <w:t>Higher education providers reduce or remove unnecessary barriers for prospective students;</w:t>
            </w:r>
          </w:p>
          <w:p w:rsidR="000D0319" w:rsidRDefault="000D0319" w:rsidP="000D0319">
            <w:pPr>
              <w:ind w:left="720"/>
              <w:rPr>
                <w:rFonts w:cs="Arial"/>
                <w:color w:val="000000"/>
              </w:rPr>
            </w:pPr>
          </w:p>
          <w:p w:rsidR="000D0319" w:rsidRDefault="000D0319" w:rsidP="000D0319">
            <w:pPr>
              <w:numPr>
                <w:ilvl w:val="0"/>
                <w:numId w:val="12"/>
              </w:numPr>
              <w:rPr>
                <w:rFonts w:cs="Arial"/>
                <w:color w:val="000000"/>
              </w:rPr>
            </w:pPr>
            <w:r>
              <w:rPr>
                <w:rFonts w:cs="Arial"/>
                <w:color w:val="000000"/>
              </w:rPr>
              <w:t>Information provided to prospective students for recruitment and widening access purposes supports students in making informed decisions;</w:t>
            </w:r>
          </w:p>
          <w:p w:rsidR="000D0319" w:rsidRDefault="000D0319" w:rsidP="000D0319">
            <w:pPr>
              <w:ind w:left="720"/>
              <w:rPr>
                <w:rFonts w:cs="Arial"/>
                <w:color w:val="000000"/>
              </w:rPr>
            </w:pPr>
          </w:p>
          <w:p w:rsidR="000D0319" w:rsidRDefault="000D0319" w:rsidP="000D0319">
            <w:pPr>
              <w:numPr>
                <w:ilvl w:val="0"/>
                <w:numId w:val="12"/>
              </w:numPr>
              <w:rPr>
                <w:rFonts w:cs="Arial"/>
                <w:color w:val="000000"/>
              </w:rPr>
            </w:pPr>
            <w:r>
              <w:rPr>
                <w:rFonts w:cs="Arial"/>
                <w:color w:val="000000"/>
              </w:rPr>
              <w:t>All staff, representatives and partners engaged in the delivery of admissions, recruitment and widening access are appropriately trained and resourced;</w:t>
            </w:r>
          </w:p>
          <w:p w:rsidR="000D0319" w:rsidRDefault="000D0319" w:rsidP="000D0319">
            <w:pPr>
              <w:ind w:left="720"/>
              <w:rPr>
                <w:rFonts w:cs="Arial"/>
                <w:color w:val="000000"/>
              </w:rPr>
            </w:pPr>
          </w:p>
          <w:p w:rsidR="000D0319" w:rsidRDefault="000D0319" w:rsidP="000D0319">
            <w:pPr>
              <w:numPr>
                <w:ilvl w:val="0"/>
                <w:numId w:val="12"/>
              </w:numPr>
              <w:rPr>
                <w:rFonts w:cs="Arial"/>
                <w:color w:val="000000"/>
              </w:rPr>
            </w:pPr>
            <w:r>
              <w:rPr>
                <w:rFonts w:cs="Arial"/>
                <w:color w:val="000000"/>
              </w:rPr>
              <w:t>Providers continually develop widening access strategies and policies in line with local and national guidance;</w:t>
            </w:r>
          </w:p>
          <w:p w:rsidR="000D0319" w:rsidRDefault="000D0319" w:rsidP="000D0319">
            <w:pPr>
              <w:pStyle w:val="ListParagraph"/>
              <w:rPr>
                <w:rFonts w:cs="Arial"/>
                <w:color w:val="000000"/>
              </w:rPr>
            </w:pPr>
          </w:p>
          <w:p w:rsidR="000D0319" w:rsidRDefault="000D0319" w:rsidP="000D0319">
            <w:pPr>
              <w:numPr>
                <w:ilvl w:val="0"/>
                <w:numId w:val="12"/>
              </w:numPr>
              <w:rPr>
                <w:rFonts w:cs="Arial"/>
                <w:color w:val="000000"/>
              </w:rPr>
            </w:pPr>
            <w:r>
              <w:rPr>
                <w:rFonts w:cs="Arial"/>
                <w:color w:val="000000"/>
              </w:rPr>
              <w:t>and allow prospective students to a request a review of a decision concerning selection or admission if they consider they have grounds to do so.</w:t>
            </w:r>
          </w:p>
          <w:p w:rsidR="000D0319" w:rsidRDefault="000D0319" w:rsidP="000D0319">
            <w:pPr>
              <w:rPr>
                <w:rFonts w:cs="Times New Roman"/>
              </w:rPr>
            </w:pPr>
          </w:p>
          <w:p w:rsidR="000D0319" w:rsidRDefault="000D0319" w:rsidP="000D0319">
            <w:r>
              <w:t xml:space="preserve">Each year the conservatoire receives approximately 2,500 HE applications. </w:t>
            </w:r>
            <w:r>
              <w:rPr>
                <w:rFonts w:cs="Arial"/>
              </w:rPr>
              <w:t xml:space="preserve">The number of new undergraduate places available each year at Leeds </w:t>
            </w:r>
            <w:r w:rsidR="002E6456">
              <w:rPr>
                <w:rFonts w:cs="Arial"/>
              </w:rPr>
              <w:t>Conservatoire</w:t>
            </w:r>
            <w:r>
              <w:rPr>
                <w:rFonts w:cs="Arial"/>
              </w:rPr>
              <w:t xml:space="preserve"> is determined annually. </w:t>
            </w:r>
            <w:r>
              <w:t>Not all suitably qualified prospective students can be accommodated.</w:t>
            </w:r>
          </w:p>
          <w:p w:rsidR="000D0319" w:rsidRDefault="000D0319" w:rsidP="000D0319"/>
          <w:p w:rsidR="000D0319" w:rsidRDefault="000D0319" w:rsidP="000D0319">
            <w:r>
              <w:t xml:space="preserve">This policy along with the principles and procedures ensures that Leeds </w:t>
            </w:r>
            <w:r w:rsidR="002E6456">
              <w:t>Conservatoire</w:t>
            </w:r>
            <w:r>
              <w:t xml:space="preserve"> has transparent, fair and timely procedures for dealing with admissions appeals.</w:t>
            </w:r>
          </w:p>
          <w:p w:rsidR="009F366C" w:rsidRDefault="009F366C" w:rsidP="009F366C">
            <w:pPr>
              <w:rPr>
                <w:rFonts w:cstheme="minorHAnsi"/>
              </w:rPr>
            </w:pPr>
          </w:p>
          <w:p w:rsidR="000D0319" w:rsidRDefault="000D0319" w:rsidP="000D0319">
            <w:r>
              <w:t>Appeals will be dealt with in accordance with the conservatoire’s Equality, Diversity and Inclusion commitments.</w:t>
            </w:r>
          </w:p>
          <w:p w:rsidR="000D0319" w:rsidRDefault="000D0319" w:rsidP="000D0319"/>
          <w:p w:rsidR="000D0319" w:rsidRDefault="000D0319" w:rsidP="000D0319">
            <w:r>
              <w:t>The prospective student will be signposted to the conservatoire’s Complaints Policy if the concern falls outside the scope of the Admissions Appeals Policy.</w:t>
            </w:r>
          </w:p>
          <w:p w:rsidR="000D0319" w:rsidRDefault="000D0319" w:rsidP="000D0319"/>
          <w:p w:rsidR="000D0319" w:rsidRPr="009F366C" w:rsidRDefault="000D0319" w:rsidP="000D0319">
            <w:pPr>
              <w:rPr>
                <w:rFonts w:cstheme="minorHAnsi"/>
              </w:rPr>
            </w:pPr>
            <w:r>
              <w:t>Most admissions queries can be dealt with by conservatoire admissions staff and the majority of prospective students are satisfied with the outcome. This policy provides for cases where unsuccessful prospective students, having received feedback on their application, feel an error has occurred.</w:t>
            </w:r>
          </w:p>
        </w:tc>
      </w:tr>
    </w:tbl>
    <w:p w:rsidR="00BB68CE" w:rsidRPr="00BB68CE"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657E2B">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1" w:name="_Toc15540312"/>
            <w:r w:rsidRPr="004E68A1">
              <w:rPr>
                <w:rFonts w:asciiTheme="minorHAnsi" w:hAnsiTheme="minorHAnsi" w:cstheme="minorHAnsi"/>
                <w:b/>
                <w:color w:val="auto"/>
                <w:sz w:val="24"/>
              </w:rPr>
              <w:t>Equality Impact Assessment Information</w:t>
            </w:r>
            <w:bookmarkEnd w:id="1"/>
          </w:p>
        </w:tc>
      </w:tr>
      <w:tr w:rsidR="00BB68CE" w:rsidTr="00657E2B">
        <w:tc>
          <w:tcPr>
            <w:tcW w:w="9016" w:type="dxa"/>
          </w:tcPr>
          <w:p w:rsidR="009F366C" w:rsidRPr="000D0319" w:rsidRDefault="000D0319" w:rsidP="009F366C">
            <w:pPr>
              <w:pStyle w:val="ListParagraph"/>
              <w:numPr>
                <w:ilvl w:val="0"/>
                <w:numId w:val="4"/>
              </w:numPr>
              <w:rPr>
                <w:rFonts w:cstheme="minorHAnsi"/>
              </w:rPr>
            </w:pPr>
            <w:r>
              <w:rPr>
                <w:rFonts w:cstheme="minorHAnsi"/>
              </w:rPr>
              <w:t>N/A</w:t>
            </w:r>
          </w:p>
        </w:tc>
      </w:tr>
    </w:tbl>
    <w:p w:rsidR="00BB68CE" w:rsidRPr="00BB68CE"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657E2B">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2" w:name="_Toc15540313"/>
            <w:r w:rsidRPr="004E68A1">
              <w:rPr>
                <w:rFonts w:asciiTheme="minorHAnsi" w:hAnsiTheme="minorHAnsi" w:cstheme="minorHAnsi"/>
                <w:b/>
                <w:color w:val="auto"/>
                <w:sz w:val="24"/>
              </w:rPr>
              <w:lastRenderedPageBreak/>
              <w:t>Definitions</w:t>
            </w:r>
            <w:bookmarkEnd w:id="2"/>
          </w:p>
        </w:tc>
      </w:tr>
      <w:tr w:rsidR="00BB68CE" w:rsidTr="00657E2B">
        <w:tc>
          <w:tcPr>
            <w:tcW w:w="9016" w:type="dxa"/>
          </w:tcPr>
          <w:p w:rsidR="009F366C" w:rsidRPr="009F366C" w:rsidRDefault="009F366C" w:rsidP="009F366C">
            <w:pPr>
              <w:rPr>
                <w:rFonts w:cstheme="minorHAnsi"/>
              </w:rPr>
            </w:pPr>
          </w:p>
          <w:p w:rsidR="009F366C" w:rsidRPr="000D0319" w:rsidRDefault="000D0319" w:rsidP="009F366C">
            <w:pPr>
              <w:pStyle w:val="ListParagraph"/>
              <w:numPr>
                <w:ilvl w:val="0"/>
                <w:numId w:val="3"/>
              </w:numPr>
              <w:rPr>
                <w:rFonts w:cstheme="minorHAnsi"/>
              </w:rPr>
            </w:pPr>
            <w:r>
              <w:rPr>
                <w:rFonts w:cstheme="minorHAnsi"/>
              </w:rPr>
              <w:t>N/A</w:t>
            </w:r>
          </w:p>
        </w:tc>
      </w:tr>
    </w:tbl>
    <w:p w:rsidR="00CA28CE" w:rsidRPr="00BB68CE" w:rsidRDefault="00CA2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657E2B">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3" w:name="_Toc15540314"/>
            <w:r w:rsidRPr="004E68A1">
              <w:rPr>
                <w:rFonts w:asciiTheme="minorHAnsi" w:hAnsiTheme="minorHAnsi" w:cstheme="minorHAnsi"/>
                <w:b/>
                <w:color w:val="auto"/>
                <w:sz w:val="24"/>
              </w:rPr>
              <w:t>Policy</w:t>
            </w:r>
            <w:bookmarkEnd w:id="3"/>
          </w:p>
        </w:tc>
      </w:tr>
      <w:tr w:rsidR="00BB68CE" w:rsidTr="00657E2B">
        <w:tc>
          <w:tcPr>
            <w:tcW w:w="9016" w:type="dxa"/>
          </w:tcPr>
          <w:p w:rsidR="00BB68CE" w:rsidRDefault="00BB68CE" w:rsidP="009F366C">
            <w:pPr>
              <w:rPr>
                <w:rFonts w:cstheme="minorHAnsi"/>
              </w:rPr>
            </w:pPr>
          </w:p>
          <w:p w:rsidR="000D0319" w:rsidRDefault="000D0319" w:rsidP="000D0319">
            <w:pPr>
              <w:rPr>
                <w:rFonts w:cs="Arial"/>
              </w:rPr>
            </w:pPr>
          </w:p>
          <w:p w:rsidR="000D0319" w:rsidRDefault="000D0319" w:rsidP="000D0319">
            <w:pPr>
              <w:rPr>
                <w:rFonts w:cs="Arial"/>
              </w:rPr>
            </w:pPr>
            <w:r>
              <w:rPr>
                <w:rFonts w:cs="Arial"/>
              </w:rPr>
              <w:t xml:space="preserve">Leeds </w:t>
            </w:r>
            <w:r w:rsidR="002E6456">
              <w:rPr>
                <w:rFonts w:cs="Arial"/>
              </w:rPr>
              <w:t>Conservatoire</w:t>
            </w:r>
            <w:r>
              <w:rPr>
                <w:rFonts w:cs="Arial"/>
              </w:rPr>
              <w:t xml:space="preserve"> is committed to admitting prospective students who are most likely to benefit from our courses and aims to:</w:t>
            </w:r>
          </w:p>
          <w:p w:rsidR="000D0319" w:rsidRDefault="000D0319" w:rsidP="000D0319">
            <w:pPr>
              <w:rPr>
                <w:rFonts w:cs="Arial"/>
              </w:rPr>
            </w:pPr>
          </w:p>
          <w:p w:rsidR="000D0319" w:rsidRDefault="000D0319" w:rsidP="000D0319">
            <w:pPr>
              <w:numPr>
                <w:ilvl w:val="0"/>
                <w:numId w:val="8"/>
              </w:numPr>
              <w:rPr>
                <w:rFonts w:cs="Arial"/>
              </w:rPr>
            </w:pPr>
            <w:r>
              <w:rPr>
                <w:rFonts w:cs="Arial"/>
              </w:rPr>
              <w:t>Sustain high academic standards consistent with the requirements of the conservatoire’s validating body;</w:t>
            </w:r>
          </w:p>
          <w:p w:rsidR="000D0319" w:rsidRDefault="000D0319" w:rsidP="000D0319">
            <w:pPr>
              <w:numPr>
                <w:ilvl w:val="0"/>
                <w:numId w:val="8"/>
              </w:numPr>
              <w:rPr>
                <w:rFonts w:cs="Arial"/>
                <w:color w:val="000000"/>
              </w:rPr>
            </w:pPr>
            <w:r>
              <w:rPr>
                <w:rFonts w:cs="Arial"/>
                <w:color w:val="000000"/>
              </w:rPr>
              <w:t>Commit to equality of opportunity.  There will be no discrimination against prospective students on the grounds of any of the protected characteristics as defined in the Equality Act 2010;</w:t>
            </w:r>
          </w:p>
          <w:p w:rsidR="000D0319" w:rsidRDefault="000D0319" w:rsidP="000D0319">
            <w:pPr>
              <w:numPr>
                <w:ilvl w:val="0"/>
                <w:numId w:val="8"/>
              </w:numPr>
              <w:rPr>
                <w:rFonts w:cs="Arial"/>
              </w:rPr>
            </w:pPr>
            <w:r>
              <w:rPr>
                <w:rFonts w:cs="Arial"/>
              </w:rPr>
              <w:t>Create a working culture that respects, welcomes and harnesses differences for the benefit of the organisation and the individual.</w:t>
            </w:r>
          </w:p>
          <w:p w:rsidR="000D0319" w:rsidRDefault="000D0319" w:rsidP="000D0319">
            <w:pPr>
              <w:pStyle w:val="Header"/>
              <w:rPr>
                <w:rFonts w:cs="Arial"/>
              </w:rPr>
            </w:pPr>
          </w:p>
          <w:p w:rsidR="000D0319" w:rsidRDefault="000D0319" w:rsidP="000D0319">
            <w:pPr>
              <w:pStyle w:val="Header"/>
              <w:rPr>
                <w:rFonts w:cs="Arial"/>
              </w:rPr>
            </w:pPr>
            <w:r>
              <w:rPr>
                <w:rFonts w:cs="Arial"/>
              </w:rPr>
              <w:t>The conservatoire will achieve these aims by:</w:t>
            </w:r>
          </w:p>
          <w:p w:rsidR="000D0319" w:rsidRDefault="000D0319" w:rsidP="000D0319">
            <w:pPr>
              <w:pStyle w:val="Header"/>
              <w:rPr>
                <w:rFonts w:cs="Arial"/>
              </w:rPr>
            </w:pPr>
          </w:p>
          <w:p w:rsidR="000D0319" w:rsidRDefault="000D0319" w:rsidP="000D0319">
            <w:pPr>
              <w:pStyle w:val="Header"/>
              <w:numPr>
                <w:ilvl w:val="0"/>
                <w:numId w:val="8"/>
              </w:numPr>
              <w:tabs>
                <w:tab w:val="clear" w:pos="4513"/>
                <w:tab w:val="clear" w:pos="9026"/>
                <w:tab w:val="center" w:pos="4320"/>
                <w:tab w:val="right" w:pos="8640"/>
              </w:tabs>
              <w:rPr>
                <w:rFonts w:cs="Arial"/>
              </w:rPr>
            </w:pPr>
            <w:r>
              <w:rPr>
                <w:rFonts w:cs="Arial"/>
              </w:rPr>
              <w:t xml:space="preserve">Encouraging applications from all those with the talent, academic ability and motivation to succeed at Leeds </w:t>
            </w:r>
            <w:r w:rsidR="002E6456">
              <w:rPr>
                <w:rFonts w:cs="Arial"/>
              </w:rPr>
              <w:t>Conservatoire</w:t>
            </w:r>
            <w:r>
              <w:rPr>
                <w:rFonts w:cs="Arial"/>
              </w:rPr>
              <w:t>;</w:t>
            </w:r>
          </w:p>
          <w:p w:rsidR="000D0319" w:rsidRDefault="000D0319" w:rsidP="000D0319">
            <w:pPr>
              <w:pStyle w:val="Header"/>
              <w:numPr>
                <w:ilvl w:val="0"/>
                <w:numId w:val="8"/>
              </w:numPr>
              <w:tabs>
                <w:tab w:val="clear" w:pos="4513"/>
                <w:tab w:val="clear" w:pos="9026"/>
                <w:tab w:val="center" w:pos="4320"/>
                <w:tab w:val="right" w:pos="8640"/>
              </w:tabs>
              <w:rPr>
                <w:rFonts w:cs="Arial"/>
              </w:rPr>
            </w:pPr>
            <w:r>
              <w:rPr>
                <w:rFonts w:cs="Arial"/>
              </w:rPr>
              <w:t>Assessing each application individually and equitably;</w:t>
            </w:r>
          </w:p>
          <w:p w:rsidR="000D0319" w:rsidRDefault="000D0319" w:rsidP="000D0319">
            <w:pPr>
              <w:pStyle w:val="Header"/>
              <w:numPr>
                <w:ilvl w:val="0"/>
                <w:numId w:val="8"/>
              </w:numPr>
              <w:tabs>
                <w:tab w:val="clear" w:pos="4513"/>
                <w:tab w:val="clear" w:pos="9026"/>
                <w:tab w:val="center" w:pos="4320"/>
                <w:tab w:val="right" w:pos="8640"/>
              </w:tabs>
              <w:rPr>
                <w:rFonts w:cs="Arial"/>
              </w:rPr>
            </w:pPr>
            <w:r>
              <w:rPr>
                <w:rFonts w:cs="Arial"/>
              </w:rPr>
              <w:t>Offering places to those who meet or have the potential to meet the course entry criteria and who therefore have the potential to complete their course successfully;</w:t>
            </w:r>
          </w:p>
          <w:p w:rsidR="000D0319" w:rsidRDefault="000D0319" w:rsidP="000D0319">
            <w:pPr>
              <w:pStyle w:val="Header"/>
              <w:numPr>
                <w:ilvl w:val="0"/>
                <w:numId w:val="8"/>
              </w:numPr>
              <w:tabs>
                <w:tab w:val="clear" w:pos="4513"/>
                <w:tab w:val="clear" w:pos="9026"/>
                <w:tab w:val="center" w:pos="4320"/>
                <w:tab w:val="right" w:pos="8640"/>
              </w:tabs>
              <w:rPr>
                <w:rFonts w:cs="Arial"/>
              </w:rPr>
            </w:pPr>
            <w:r>
              <w:rPr>
                <w:rFonts w:cs="Arial"/>
              </w:rPr>
              <w:t>Maintaining integrity and transparency in its admission process;</w:t>
            </w:r>
          </w:p>
          <w:p w:rsidR="000D0319" w:rsidRDefault="000D0319" w:rsidP="000D0319">
            <w:pPr>
              <w:pStyle w:val="Header"/>
              <w:numPr>
                <w:ilvl w:val="0"/>
                <w:numId w:val="8"/>
              </w:numPr>
              <w:tabs>
                <w:tab w:val="clear" w:pos="4513"/>
                <w:tab w:val="clear" w:pos="9026"/>
                <w:tab w:val="center" w:pos="4320"/>
                <w:tab w:val="right" w:pos="8640"/>
              </w:tabs>
              <w:rPr>
                <w:rFonts w:cs="Arial"/>
              </w:rPr>
            </w:pPr>
            <w:r>
              <w:rPr>
                <w:rFonts w:cs="Arial"/>
              </w:rPr>
              <w:t>Striving to create a working environment in which students are enabled to develop and progress to their full potential.</w:t>
            </w:r>
          </w:p>
          <w:p w:rsidR="000D0319" w:rsidRDefault="000D0319" w:rsidP="000D0319">
            <w:pPr>
              <w:spacing w:before="40" w:after="40"/>
              <w:rPr>
                <w:rFonts w:cs="Times New Roman"/>
              </w:rPr>
            </w:pPr>
          </w:p>
          <w:p w:rsidR="000D0319" w:rsidRDefault="000D0319" w:rsidP="000D0319">
            <w:pPr>
              <w:autoSpaceDE w:val="0"/>
              <w:autoSpaceDN w:val="0"/>
              <w:adjustRightInd w:val="0"/>
              <w:rPr>
                <w:rFonts w:cs="Arial"/>
                <w:lang w:eastAsia="en-GB"/>
              </w:rPr>
            </w:pPr>
            <w:r>
              <w:rPr>
                <w:rFonts w:cs="Arial"/>
                <w:lang w:eastAsia="en-GB"/>
              </w:rPr>
              <w:t xml:space="preserve">The conservatoire recognises that it may need to be flexible during the recruitment process in order to provide fair and equal access to all prospective students.  The conservatoire also recognises the need to make adjustments for individual prospective students where appropriate - for example, </w:t>
            </w:r>
            <w:r>
              <w:t xml:space="preserve">prospective students with a </w:t>
            </w:r>
            <w:proofErr w:type="gramStart"/>
            <w:r>
              <w:t>long term</w:t>
            </w:r>
            <w:proofErr w:type="gramEnd"/>
            <w:r>
              <w:t xml:space="preserve"> health condition, mental health condition or specific learning difficulty</w:t>
            </w:r>
            <w:r>
              <w:rPr>
                <w:rFonts w:cs="Arial"/>
                <w:lang w:eastAsia="en-GB"/>
              </w:rPr>
              <w:t xml:space="preserve"> – to allow them to demonstrate their potential.</w:t>
            </w:r>
          </w:p>
          <w:p w:rsidR="009F366C" w:rsidRPr="009F366C" w:rsidRDefault="009F366C" w:rsidP="009F366C">
            <w:pPr>
              <w:rPr>
                <w:rFonts w:cstheme="minorHAnsi"/>
              </w:rPr>
            </w:pPr>
          </w:p>
        </w:tc>
      </w:tr>
    </w:tbl>
    <w:p w:rsidR="00BB68CE" w:rsidRPr="00BB68CE"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657E2B">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4" w:name="_Toc15540315"/>
            <w:r w:rsidRPr="004E68A1">
              <w:rPr>
                <w:rFonts w:asciiTheme="minorHAnsi" w:hAnsiTheme="minorHAnsi" w:cstheme="minorHAnsi"/>
                <w:b/>
                <w:color w:val="auto"/>
                <w:sz w:val="24"/>
              </w:rPr>
              <w:t>Procedure</w:t>
            </w:r>
            <w:bookmarkEnd w:id="4"/>
          </w:p>
        </w:tc>
      </w:tr>
      <w:tr w:rsidR="00BB68CE" w:rsidTr="00657E2B">
        <w:tc>
          <w:tcPr>
            <w:tcW w:w="9016" w:type="dxa"/>
          </w:tcPr>
          <w:p w:rsidR="00BB68CE" w:rsidRDefault="00BB68CE" w:rsidP="009F366C">
            <w:pPr>
              <w:rPr>
                <w:rFonts w:cstheme="minorHAnsi"/>
              </w:rPr>
            </w:pPr>
          </w:p>
          <w:p w:rsidR="000D0319" w:rsidRDefault="000D0319" w:rsidP="000D0319">
            <w:pPr>
              <w:pStyle w:val="ListParagraph"/>
              <w:numPr>
                <w:ilvl w:val="0"/>
                <w:numId w:val="9"/>
              </w:numPr>
              <w:rPr>
                <w:b/>
              </w:rPr>
            </w:pPr>
            <w:r>
              <w:rPr>
                <w:b/>
              </w:rPr>
              <w:t>Grounds for appeal</w:t>
            </w:r>
          </w:p>
          <w:p w:rsidR="000D0319" w:rsidRDefault="000D0319" w:rsidP="000D0319">
            <w:pPr>
              <w:spacing w:before="40" w:after="40"/>
            </w:pPr>
          </w:p>
          <w:p w:rsidR="000D0319" w:rsidRDefault="000D0319" w:rsidP="000D0319">
            <w:pPr>
              <w:pStyle w:val="ListParagraph"/>
              <w:numPr>
                <w:ilvl w:val="1"/>
                <w:numId w:val="10"/>
              </w:numPr>
            </w:pPr>
            <w:r>
              <w:t>An appeal is a request to review a selection decision.</w:t>
            </w:r>
          </w:p>
          <w:p w:rsidR="000D0319" w:rsidRDefault="000D0319" w:rsidP="000D0319"/>
          <w:p w:rsidR="000D0319" w:rsidRDefault="000D0319" w:rsidP="000D0319">
            <w:pPr>
              <w:pStyle w:val="ListParagraph"/>
              <w:numPr>
                <w:ilvl w:val="1"/>
                <w:numId w:val="10"/>
              </w:numPr>
            </w:pPr>
            <w:r>
              <w:t>If a prospective student feels an error has occurred they have the right to request a review of the selection decision on one of the following grounds:</w:t>
            </w:r>
          </w:p>
          <w:p w:rsidR="000D0319" w:rsidRDefault="000D0319" w:rsidP="000D0319"/>
          <w:p w:rsidR="000D0319" w:rsidRDefault="000D0319" w:rsidP="000D0319">
            <w:pPr>
              <w:numPr>
                <w:ilvl w:val="0"/>
                <w:numId w:val="11"/>
              </w:numPr>
            </w:pPr>
            <w:r>
              <w:t>relevant information was missing from the original application (with good reason)</w:t>
            </w:r>
          </w:p>
          <w:p w:rsidR="000D0319" w:rsidRDefault="000D0319" w:rsidP="000D0319">
            <w:pPr>
              <w:numPr>
                <w:ilvl w:val="0"/>
                <w:numId w:val="11"/>
              </w:numPr>
            </w:pPr>
            <w:r>
              <w:t>there has been a misinterpretation of information or data contained within the original application</w:t>
            </w:r>
          </w:p>
          <w:p w:rsidR="000D0319" w:rsidRDefault="000D0319" w:rsidP="000D0319">
            <w:pPr>
              <w:numPr>
                <w:ilvl w:val="0"/>
                <w:numId w:val="11"/>
              </w:numPr>
            </w:pPr>
            <w:r>
              <w:lastRenderedPageBreak/>
              <w:t>there is evidence of bias or prejudice</w:t>
            </w:r>
          </w:p>
          <w:p w:rsidR="000D0319" w:rsidRDefault="000D0319" w:rsidP="000D0319">
            <w:pPr>
              <w:numPr>
                <w:ilvl w:val="0"/>
                <w:numId w:val="11"/>
              </w:numPr>
            </w:pPr>
            <w:r>
              <w:t>there was a procedural irregularity in the handling of the application.</w:t>
            </w:r>
          </w:p>
          <w:p w:rsidR="000D0319" w:rsidRDefault="000D0319" w:rsidP="000D0319"/>
          <w:p w:rsidR="000D0319" w:rsidRDefault="000D0319" w:rsidP="000D0319">
            <w:pPr>
              <w:pStyle w:val="ListParagraph"/>
              <w:numPr>
                <w:ilvl w:val="1"/>
                <w:numId w:val="10"/>
              </w:numPr>
            </w:pPr>
            <w:r>
              <w:t xml:space="preserve">Appeals that question the academic judgement or integrity of academic staff will not be considered. </w:t>
            </w:r>
          </w:p>
          <w:p w:rsidR="000D0319" w:rsidRDefault="000D0319" w:rsidP="000D0319"/>
          <w:p w:rsidR="000D0319" w:rsidRDefault="000D0319" w:rsidP="000D0319">
            <w:pPr>
              <w:pStyle w:val="ListParagraph"/>
              <w:numPr>
                <w:ilvl w:val="1"/>
                <w:numId w:val="10"/>
              </w:numPr>
            </w:pPr>
            <w:r>
              <w:t>The procedure may not be used because a prospective student is simply disappointed with a rejection or unhappy with the conditions of their offer.</w:t>
            </w:r>
          </w:p>
          <w:p w:rsidR="000D0319" w:rsidRDefault="000D0319" w:rsidP="000D0319"/>
          <w:p w:rsidR="000D0319" w:rsidRDefault="000D0319" w:rsidP="000D0319">
            <w:pPr>
              <w:pStyle w:val="ListParagraph"/>
              <w:numPr>
                <w:ilvl w:val="1"/>
                <w:numId w:val="10"/>
              </w:numPr>
            </w:pPr>
            <w:r>
              <w:t>Due to Data Protection Legislation, the conservatoire is unable to respond to appeals from a third party unless written permission has been granted by the prospective student.</w:t>
            </w:r>
          </w:p>
          <w:p w:rsidR="000D0319" w:rsidRDefault="000D0319" w:rsidP="000D0319"/>
          <w:p w:rsidR="000D0319" w:rsidRDefault="000D0319" w:rsidP="000D0319">
            <w:pPr>
              <w:pStyle w:val="ListParagraph"/>
              <w:numPr>
                <w:ilvl w:val="1"/>
                <w:numId w:val="10"/>
              </w:numPr>
            </w:pPr>
            <w:r>
              <w:t>Prospective students will not be disadvantaged in any way because they have made an admissions appeal.</w:t>
            </w:r>
          </w:p>
          <w:p w:rsidR="000D0319" w:rsidRDefault="000D0319" w:rsidP="000D0319"/>
          <w:p w:rsidR="000D0319" w:rsidRDefault="000D0319" w:rsidP="000D0319">
            <w:pPr>
              <w:pStyle w:val="ListParagraph"/>
              <w:numPr>
                <w:ilvl w:val="1"/>
                <w:numId w:val="10"/>
              </w:numPr>
            </w:pPr>
            <w:r>
              <w:t>The Head of Registry will prepare an annual summary of the nature and outcome of any formal admissions appeals for the conservatoire’s Academic Council.</w:t>
            </w:r>
          </w:p>
          <w:p w:rsidR="009F366C" w:rsidRDefault="009F366C" w:rsidP="009F366C">
            <w:pPr>
              <w:rPr>
                <w:rFonts w:cstheme="minorHAnsi"/>
              </w:rPr>
            </w:pPr>
          </w:p>
          <w:p w:rsidR="000D0319" w:rsidRDefault="000D0319" w:rsidP="000D0319">
            <w:pPr>
              <w:pStyle w:val="ListParagraph"/>
              <w:numPr>
                <w:ilvl w:val="0"/>
                <w:numId w:val="9"/>
              </w:numPr>
            </w:pPr>
            <w:r>
              <w:rPr>
                <w:b/>
              </w:rPr>
              <w:t>Stage One: request for feedback</w:t>
            </w:r>
          </w:p>
          <w:p w:rsidR="000D0319" w:rsidRDefault="000D0319" w:rsidP="000D0319">
            <w:pPr>
              <w:rPr>
                <w:b/>
              </w:rPr>
            </w:pPr>
          </w:p>
          <w:p w:rsidR="000D0319" w:rsidRDefault="000D0319" w:rsidP="000D0319">
            <w:pPr>
              <w:pStyle w:val="ListParagraph"/>
              <w:numPr>
                <w:ilvl w:val="0"/>
                <w:numId w:val="10"/>
              </w:numPr>
              <w:rPr>
                <w:vanish/>
              </w:rPr>
            </w:pPr>
          </w:p>
          <w:p w:rsidR="000D0319" w:rsidRDefault="000D0319" w:rsidP="000D0319">
            <w:pPr>
              <w:pStyle w:val="ListParagraph"/>
              <w:numPr>
                <w:ilvl w:val="1"/>
                <w:numId w:val="10"/>
              </w:numPr>
            </w:pPr>
            <w:r>
              <w:t>Prospective students who feel they may have grounds for appeal must formally request feedback on the reasons for the selection decision in the first instance.</w:t>
            </w:r>
          </w:p>
          <w:p w:rsidR="000D0319" w:rsidRDefault="000D0319" w:rsidP="000D0319"/>
          <w:p w:rsidR="000D0319" w:rsidRDefault="000D0319" w:rsidP="000D0319">
            <w:pPr>
              <w:pStyle w:val="ListParagraph"/>
              <w:numPr>
                <w:ilvl w:val="1"/>
                <w:numId w:val="10"/>
              </w:numPr>
            </w:pPr>
            <w:r>
              <w:t>Requests for feedback from a third party will not be accepted unless permission has been granted by the prospective student.</w:t>
            </w:r>
          </w:p>
          <w:p w:rsidR="000D0319" w:rsidRDefault="000D0319" w:rsidP="000D0319"/>
          <w:p w:rsidR="000D0319" w:rsidRDefault="000D0319" w:rsidP="000D0319">
            <w:pPr>
              <w:pStyle w:val="ListParagraph"/>
              <w:numPr>
                <w:ilvl w:val="1"/>
                <w:numId w:val="10"/>
              </w:numPr>
            </w:pPr>
            <w:r>
              <w:t xml:space="preserve">Requests must be made within 10 working days of the date given on the initial correspondence outlining the selection outcome and must be directed to the Senior Admissions and Registration Officer, who will co-ordinate the response. </w:t>
            </w:r>
          </w:p>
          <w:p w:rsidR="000D0319" w:rsidRDefault="000D0319" w:rsidP="000D0319"/>
          <w:p w:rsidR="000D0319" w:rsidRDefault="000D0319" w:rsidP="000D0319">
            <w:pPr>
              <w:pStyle w:val="ListParagraph"/>
              <w:numPr>
                <w:ilvl w:val="1"/>
                <w:numId w:val="10"/>
              </w:numPr>
            </w:pPr>
            <w:r>
              <w:t>A written response will be made within 10 working days of the request being made, and this response will mark the completion of Stage One.</w:t>
            </w:r>
          </w:p>
          <w:p w:rsidR="000D0319" w:rsidRDefault="000D0319" w:rsidP="000D0319">
            <w:pPr>
              <w:pStyle w:val="ListParagraph"/>
            </w:pPr>
          </w:p>
          <w:p w:rsidR="000D0319" w:rsidRDefault="000D0319" w:rsidP="000D0319">
            <w:pPr>
              <w:pStyle w:val="ListParagraph"/>
            </w:pPr>
          </w:p>
          <w:p w:rsidR="000D0319" w:rsidRDefault="000D0319" w:rsidP="000D0319">
            <w:pPr>
              <w:pStyle w:val="ListParagraph"/>
              <w:numPr>
                <w:ilvl w:val="0"/>
                <w:numId w:val="10"/>
              </w:numPr>
            </w:pPr>
            <w:r>
              <w:rPr>
                <w:b/>
              </w:rPr>
              <w:t>Stage Two: appeal</w:t>
            </w:r>
          </w:p>
          <w:p w:rsidR="000D0319" w:rsidRDefault="000D0319" w:rsidP="000D0319"/>
          <w:p w:rsidR="000D0319" w:rsidRDefault="000D0319" w:rsidP="000D0319">
            <w:pPr>
              <w:pStyle w:val="ListParagraph"/>
              <w:numPr>
                <w:ilvl w:val="1"/>
                <w:numId w:val="10"/>
              </w:numPr>
            </w:pPr>
            <w:r>
              <w:t>A prospective student who is dissatisfied with the response provided at Stage One may submit an admissions appeal.</w:t>
            </w:r>
          </w:p>
          <w:p w:rsidR="000D0319" w:rsidRDefault="000D0319" w:rsidP="000D0319"/>
          <w:p w:rsidR="000D0319" w:rsidRDefault="000D0319" w:rsidP="000D0319">
            <w:pPr>
              <w:pStyle w:val="ListParagraph"/>
              <w:numPr>
                <w:ilvl w:val="1"/>
                <w:numId w:val="10"/>
              </w:numPr>
            </w:pPr>
            <w:r>
              <w:t xml:space="preserve">Appeals must be made on the Admissions Appeal form (see Appendix 1), within 10 working days of the date of the Stage One outcome letter, and directed to the Head of Registry, who will co-ordinate the response. </w:t>
            </w:r>
          </w:p>
          <w:p w:rsidR="000D0319" w:rsidRDefault="000D0319" w:rsidP="000D0319"/>
          <w:p w:rsidR="000D0319" w:rsidRDefault="000D0319" w:rsidP="000D0319">
            <w:pPr>
              <w:pStyle w:val="ListParagraph"/>
              <w:numPr>
                <w:ilvl w:val="1"/>
                <w:numId w:val="10"/>
              </w:numPr>
            </w:pPr>
            <w:r>
              <w:t>Appeals should explain the grounds for dissatisfaction with the outcome at Stage One and indicate the grounds for appeal (see 1.2 above).</w:t>
            </w:r>
          </w:p>
          <w:p w:rsidR="000D0319" w:rsidRDefault="000D0319" w:rsidP="000D0319"/>
          <w:p w:rsidR="000D0319" w:rsidRDefault="000D0319" w:rsidP="000D0319">
            <w:pPr>
              <w:pStyle w:val="ListParagraph"/>
              <w:numPr>
                <w:ilvl w:val="1"/>
                <w:numId w:val="10"/>
              </w:numPr>
            </w:pPr>
            <w:r>
              <w:t xml:space="preserve">A written response will be made within 10 working days of receipt of the Admissions Appeal form. </w:t>
            </w:r>
          </w:p>
          <w:p w:rsidR="000D0319" w:rsidRDefault="000D0319" w:rsidP="000D0319"/>
          <w:p w:rsidR="000D0319" w:rsidRDefault="000D0319" w:rsidP="000D0319">
            <w:pPr>
              <w:pStyle w:val="ListParagraph"/>
              <w:numPr>
                <w:ilvl w:val="0"/>
                <w:numId w:val="10"/>
              </w:numPr>
              <w:rPr>
                <w:b/>
              </w:rPr>
            </w:pPr>
            <w:r>
              <w:rPr>
                <w:b/>
              </w:rPr>
              <w:t>Stage Three: review</w:t>
            </w:r>
          </w:p>
          <w:p w:rsidR="000D0319" w:rsidRDefault="000D0319" w:rsidP="000D0319"/>
          <w:p w:rsidR="000D0319" w:rsidRDefault="000D0319" w:rsidP="000D0319">
            <w:pPr>
              <w:pStyle w:val="ListParagraph"/>
              <w:numPr>
                <w:ilvl w:val="1"/>
                <w:numId w:val="10"/>
              </w:numPr>
            </w:pPr>
            <w:r>
              <w:lastRenderedPageBreak/>
              <w:t>A prospective student who remains dissatisfied may request a review of the decision made at Stage Two.</w:t>
            </w:r>
          </w:p>
          <w:p w:rsidR="000D0319" w:rsidRDefault="000D0319" w:rsidP="000D0319"/>
          <w:p w:rsidR="000D0319" w:rsidRDefault="000D0319" w:rsidP="000D0319">
            <w:pPr>
              <w:pStyle w:val="ListParagraph"/>
              <w:numPr>
                <w:ilvl w:val="1"/>
                <w:numId w:val="10"/>
              </w:numPr>
            </w:pPr>
            <w:r>
              <w:t xml:space="preserve">The request to review the decision made at Stage Two must be submitted in writing within 15 working days of the notification of the outcome at Stage Two and directed to the </w:t>
            </w:r>
            <w:r w:rsidR="00D92043">
              <w:t>Quality team</w:t>
            </w:r>
            <w:r>
              <w:t xml:space="preserve">, who will co-ordinate the response. </w:t>
            </w:r>
          </w:p>
          <w:p w:rsidR="000D0319" w:rsidRDefault="000D0319" w:rsidP="000D0319"/>
          <w:p w:rsidR="000D0319" w:rsidRDefault="000D0319" w:rsidP="000D0319">
            <w:pPr>
              <w:pStyle w:val="ListParagraph"/>
              <w:numPr>
                <w:ilvl w:val="1"/>
                <w:numId w:val="10"/>
              </w:numPr>
            </w:pPr>
            <w:r>
              <w:t xml:space="preserve">A written response will be made within 15 working days of receipt of the request to review the Stage Two decision. </w:t>
            </w:r>
          </w:p>
          <w:p w:rsidR="000D0319" w:rsidRDefault="000D0319" w:rsidP="000D0319"/>
          <w:p w:rsidR="000D0319" w:rsidRDefault="000D0319" w:rsidP="000D0319">
            <w:pPr>
              <w:pStyle w:val="ListParagraph"/>
              <w:numPr>
                <w:ilvl w:val="1"/>
                <w:numId w:val="10"/>
              </w:numPr>
            </w:pPr>
            <w:r>
              <w:t xml:space="preserve">This response will be the conservatoire’s final decision and mark the completion of the process. </w:t>
            </w:r>
          </w:p>
          <w:p w:rsidR="000D0319" w:rsidRDefault="000D0319" w:rsidP="000D0319"/>
          <w:p w:rsidR="000D0319" w:rsidRDefault="000D0319" w:rsidP="000D0319">
            <w:pPr>
              <w:pStyle w:val="ListParagraph"/>
              <w:numPr>
                <w:ilvl w:val="0"/>
                <w:numId w:val="10"/>
              </w:numPr>
              <w:rPr>
                <w:b/>
              </w:rPr>
            </w:pPr>
            <w:r>
              <w:rPr>
                <w:b/>
              </w:rPr>
              <w:t>Complaints</w:t>
            </w:r>
          </w:p>
          <w:p w:rsidR="000D0319" w:rsidRDefault="000D0319" w:rsidP="000D0319"/>
          <w:p w:rsidR="000D0319" w:rsidRDefault="000D0319" w:rsidP="000D0319">
            <w:pPr>
              <w:pStyle w:val="ListParagraph"/>
              <w:numPr>
                <w:ilvl w:val="1"/>
                <w:numId w:val="10"/>
              </w:numPr>
              <w:rPr>
                <w:rFonts w:cs="Arial"/>
              </w:rPr>
            </w:pPr>
            <w:r>
              <w:t xml:space="preserve">Should a prospective student wish to complain about any aspect of the process, they must follow the conservatoire’s Complaints Policy. This can be accessed electronically via the ‘How to apply’ sections on the conservatoire </w:t>
            </w:r>
            <w:r>
              <w:rPr>
                <w:rFonts w:cs="Arial"/>
              </w:rPr>
              <w:t xml:space="preserve">website, </w:t>
            </w:r>
            <w:hyperlink r:id="rId8" w:history="1">
              <w:r w:rsidR="00D92043" w:rsidRPr="00295A0E">
                <w:rPr>
                  <w:rStyle w:val="Hyperlink"/>
                  <w:rFonts w:cs="Arial"/>
                </w:rPr>
                <w:t>www.leedsconservatoire.ac.uk</w:t>
              </w:r>
            </w:hyperlink>
            <w:r>
              <w:rPr>
                <w:rFonts w:cs="Arial"/>
              </w:rPr>
              <w:t xml:space="preserve">, or by emailing </w:t>
            </w:r>
            <w:hyperlink r:id="rId9" w:history="1">
              <w:r w:rsidR="00D92043" w:rsidRPr="00295A0E">
                <w:rPr>
                  <w:rStyle w:val="Hyperlink"/>
                  <w:rFonts w:cs="Arial"/>
                </w:rPr>
                <w:t>complaints@leedsconservatoire.ac.uk</w:t>
              </w:r>
            </w:hyperlink>
            <w:r>
              <w:rPr>
                <w:rFonts w:cs="Arial"/>
              </w:rPr>
              <w:t>.</w:t>
            </w:r>
          </w:p>
          <w:p w:rsidR="000D0319" w:rsidRDefault="000D0319" w:rsidP="000D0319">
            <w:pPr>
              <w:rPr>
                <w:rFonts w:cs="Arial"/>
              </w:rPr>
            </w:pPr>
          </w:p>
          <w:p w:rsidR="000D0319" w:rsidRDefault="000D0319" w:rsidP="000D0319">
            <w:pPr>
              <w:pStyle w:val="ListParagraph"/>
              <w:numPr>
                <w:ilvl w:val="1"/>
                <w:numId w:val="10"/>
              </w:numPr>
              <w:rPr>
                <w:rFonts w:cs="Arial"/>
              </w:rPr>
            </w:pPr>
            <w:r>
              <w:t>If the dissatisfaction with a selection decision is based on the conduct of a member of staff, or another matter not covered by the points outlined in 1.2 above, this will be dealt with through the Complaints Policy.</w:t>
            </w:r>
            <w:bookmarkStart w:id="5" w:name="_GoBack"/>
            <w:bookmarkEnd w:id="5"/>
          </w:p>
          <w:p w:rsidR="000D0319" w:rsidRDefault="000D0319" w:rsidP="000D0319"/>
          <w:p w:rsidR="000D0319" w:rsidRDefault="000D0319" w:rsidP="000D0319">
            <w:pPr>
              <w:pStyle w:val="ListParagraph"/>
              <w:numPr>
                <w:ilvl w:val="0"/>
                <w:numId w:val="10"/>
              </w:numPr>
              <w:rPr>
                <w:b/>
              </w:rPr>
            </w:pPr>
            <w:r>
              <w:rPr>
                <w:b/>
              </w:rPr>
              <w:t>Deadlines</w:t>
            </w:r>
          </w:p>
          <w:p w:rsidR="000D0319" w:rsidRDefault="000D0319" w:rsidP="000D0319"/>
          <w:p w:rsidR="000D0319" w:rsidRDefault="000D0319" w:rsidP="000D0319">
            <w:pPr>
              <w:pStyle w:val="ListParagraph"/>
              <w:numPr>
                <w:ilvl w:val="1"/>
                <w:numId w:val="10"/>
              </w:numPr>
            </w:pPr>
            <w:r>
              <w:t xml:space="preserve">The conservatoire will at all times strive to respond to enquiries as quickly as circumstances allow. </w:t>
            </w:r>
          </w:p>
          <w:p w:rsidR="000D0319" w:rsidRDefault="000D0319" w:rsidP="000D0319"/>
          <w:p w:rsidR="000D0319" w:rsidRDefault="000D0319" w:rsidP="000D0319">
            <w:pPr>
              <w:pStyle w:val="ListParagraph"/>
              <w:numPr>
                <w:ilvl w:val="1"/>
                <w:numId w:val="10"/>
              </w:numPr>
            </w:pPr>
            <w:r>
              <w:t xml:space="preserve">If the conservatoire is unable to respond within the specified timeframes, the prospective student will be contacted with a reason for the delay and will be informed of when they can expect a decision/response. </w:t>
            </w:r>
          </w:p>
          <w:p w:rsidR="000D0319" w:rsidRDefault="000D0319" w:rsidP="000D0319"/>
          <w:p w:rsidR="000D0319" w:rsidRDefault="000D0319" w:rsidP="000D0319">
            <w:pPr>
              <w:pStyle w:val="ListParagraph"/>
              <w:numPr>
                <w:ilvl w:val="1"/>
                <w:numId w:val="10"/>
              </w:numPr>
            </w:pPr>
            <w:r>
              <w:rPr>
                <w:rFonts w:cs="Arial"/>
              </w:rPr>
              <w:t>To ensure that prospective students are not unfairly disadvantaged, the conservatoire may choose to consider an admissions appeal outside the specified timeframes.</w:t>
            </w:r>
          </w:p>
          <w:p w:rsidR="000D0319" w:rsidRPr="009F366C" w:rsidRDefault="000D0319" w:rsidP="009F366C">
            <w:pPr>
              <w:rPr>
                <w:rFonts w:cstheme="minorHAnsi"/>
              </w:rPr>
            </w:pPr>
          </w:p>
        </w:tc>
      </w:tr>
    </w:tbl>
    <w:p w:rsidR="00BB68CE" w:rsidRPr="00F2342B"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F2342B" w:rsidTr="00657E2B">
        <w:tc>
          <w:tcPr>
            <w:tcW w:w="9016" w:type="dxa"/>
            <w:shd w:val="clear" w:color="auto" w:fill="BDD6EE" w:themeFill="accent1" w:themeFillTint="66"/>
          </w:tcPr>
          <w:p w:rsidR="00F2342B" w:rsidRPr="004E68A1" w:rsidRDefault="00F2342B" w:rsidP="00657E2B">
            <w:pPr>
              <w:pStyle w:val="Heading1"/>
              <w:spacing w:before="0" w:line="360" w:lineRule="auto"/>
              <w:outlineLvl w:val="0"/>
              <w:rPr>
                <w:rFonts w:asciiTheme="minorHAnsi" w:hAnsiTheme="minorHAnsi" w:cstheme="minorHAnsi"/>
                <w:b/>
                <w:sz w:val="40"/>
              </w:rPr>
            </w:pPr>
            <w:bookmarkStart w:id="6" w:name="_Toc15540316"/>
            <w:r w:rsidRPr="004E68A1">
              <w:rPr>
                <w:rFonts w:asciiTheme="minorHAnsi" w:hAnsiTheme="minorHAnsi" w:cstheme="minorHAnsi"/>
                <w:b/>
                <w:color w:val="auto"/>
                <w:sz w:val="24"/>
              </w:rPr>
              <w:t>Breach of Policy</w:t>
            </w:r>
            <w:bookmarkEnd w:id="6"/>
          </w:p>
        </w:tc>
      </w:tr>
      <w:tr w:rsidR="00F2342B" w:rsidTr="00657E2B">
        <w:tc>
          <w:tcPr>
            <w:tcW w:w="9016" w:type="dxa"/>
          </w:tcPr>
          <w:p w:rsidR="000D0319" w:rsidRDefault="000D0319" w:rsidP="000D0319"/>
          <w:p w:rsidR="000D0319" w:rsidRDefault="000D0319" w:rsidP="000D0319">
            <w:pPr>
              <w:spacing w:before="40" w:after="40"/>
            </w:pPr>
            <w:r>
              <w:t>An individual is entitled to make a formal complaint via the conservatoire’s Complaints Policy if they feel the conservatoire has not complied with the procedures set out in the Admissions Appeals Policy.</w:t>
            </w:r>
          </w:p>
          <w:p w:rsidR="00F2342B" w:rsidRPr="000D0319" w:rsidRDefault="00F2342B" w:rsidP="000D0319">
            <w:pPr>
              <w:rPr>
                <w:rFonts w:cstheme="minorHAnsi"/>
              </w:rPr>
            </w:pPr>
          </w:p>
          <w:p w:rsidR="009F366C" w:rsidRPr="009F366C" w:rsidRDefault="009F366C" w:rsidP="009F366C">
            <w:pPr>
              <w:rPr>
                <w:rFonts w:cstheme="minorHAnsi"/>
              </w:rPr>
            </w:pPr>
          </w:p>
        </w:tc>
      </w:tr>
    </w:tbl>
    <w:p w:rsidR="00F2342B" w:rsidRDefault="00F2342B" w:rsidP="00BB1AA1">
      <w:pPr>
        <w:spacing w:after="0" w:line="240" w:lineRule="auto"/>
        <w:rPr>
          <w:rFonts w:ascii="Rama Gothic E Regular" w:hAnsi="Rama Gothic E Regular"/>
          <w:sz w:val="40"/>
        </w:rPr>
      </w:pPr>
    </w:p>
    <w:p w:rsidR="000D0319" w:rsidRDefault="000D0319" w:rsidP="0037702D">
      <w:pPr>
        <w:pStyle w:val="Heading1"/>
        <w:rPr>
          <w:rFonts w:ascii="Rama Gothic E Regular" w:hAnsi="Rama Gothic E Regular"/>
          <w:b/>
          <w:color w:val="1F4E79" w:themeColor="accent1" w:themeShade="80"/>
        </w:rPr>
      </w:pPr>
      <w:bookmarkStart w:id="7" w:name="_Toc15540317"/>
    </w:p>
    <w:p w:rsidR="00F2342B" w:rsidRPr="004A14B1" w:rsidRDefault="00F2342B" w:rsidP="0037702D">
      <w:pPr>
        <w:pStyle w:val="Heading1"/>
        <w:rPr>
          <w:rFonts w:ascii="Rama Gothic E Regular" w:hAnsi="Rama Gothic E Regular"/>
          <w:b/>
          <w:color w:val="1F4E79" w:themeColor="accent1" w:themeShade="80"/>
        </w:rPr>
      </w:pPr>
      <w:r w:rsidRPr="004A14B1">
        <w:rPr>
          <w:rFonts w:ascii="Rama Gothic E Regular" w:hAnsi="Rama Gothic E Regular"/>
          <w:b/>
          <w:color w:val="1F4E79" w:themeColor="accent1" w:themeShade="80"/>
        </w:rPr>
        <w:t>Appendix 1</w:t>
      </w:r>
      <w:bookmarkEnd w:id="7"/>
    </w:p>
    <w:p w:rsidR="000D0319" w:rsidRDefault="000D0319" w:rsidP="000D0319">
      <w:pPr>
        <w:autoSpaceDE w:val="0"/>
        <w:autoSpaceDN w:val="0"/>
        <w:adjustRightInd w:val="0"/>
        <w:rPr>
          <w:rFonts w:ascii="Helvetica" w:hAnsi="Helvetica"/>
          <w:sz w:val="23"/>
          <w:szCs w:val="23"/>
          <w:lang w:eastAsia="en-GB"/>
        </w:rPr>
      </w:pPr>
      <w:r>
        <w:rPr>
          <w:rFonts w:ascii="Arial" w:hAnsi="Arial"/>
          <w:noProof/>
          <w:sz w:val="24"/>
          <w:szCs w:val="20"/>
        </w:rPr>
        <mc:AlternateContent>
          <mc:Choice Requires="wps">
            <w:drawing>
              <wp:anchor distT="0" distB="0" distL="114300" distR="114300" simplePos="0" relativeHeight="251659264" behindDoc="0" locked="0" layoutInCell="1" allowOverlap="1">
                <wp:simplePos x="0" y="0"/>
                <wp:positionH relativeFrom="column">
                  <wp:posOffset>4280535</wp:posOffset>
                </wp:positionH>
                <wp:positionV relativeFrom="paragraph">
                  <wp:posOffset>-739140</wp:posOffset>
                </wp:positionV>
                <wp:extent cx="1442720" cy="1257300"/>
                <wp:effectExtent l="0" t="0" r="2413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1257300"/>
                        </a:xfrm>
                        <a:prstGeom prst="rect">
                          <a:avLst/>
                        </a:prstGeom>
                        <a:solidFill>
                          <a:srgbClr val="FFFFFF"/>
                        </a:solidFill>
                        <a:ln w="9525">
                          <a:solidFill>
                            <a:srgbClr val="000000"/>
                          </a:solidFill>
                          <a:miter lim="800000"/>
                          <a:headEnd/>
                          <a:tailEnd/>
                        </a:ln>
                      </wps:spPr>
                      <wps:txbx>
                        <w:txbxContent>
                          <w:p w:rsidR="000D0319" w:rsidRDefault="000D0319" w:rsidP="000D0319">
                            <w:r>
                              <w:t>Office date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7.05pt;margin-top:-58.2pt;width:113.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">
                <v:textbox>
                  <w:txbxContent>
                    <w:p w:rsidR="000D0319" w:rsidRDefault="000D0319" w:rsidP="000D0319">
                      <w:r>
                        <w:t>Office date stamp</w:t>
                      </w:r>
                    </w:p>
                  </w:txbxContent>
                </v:textbox>
              </v:rect>
            </w:pict>
          </mc:Fallback>
        </mc:AlternateContent>
      </w:r>
    </w:p>
    <w:p w:rsidR="000D0319" w:rsidRDefault="000D0319" w:rsidP="000D0319">
      <w:pPr>
        <w:autoSpaceDE w:val="0"/>
        <w:autoSpaceDN w:val="0"/>
        <w:adjustRightInd w:val="0"/>
        <w:rPr>
          <w:rFonts w:cstheme="minorHAnsi"/>
          <w:b/>
          <w:bCs/>
          <w:sz w:val="24"/>
          <w:szCs w:val="24"/>
          <w:lang w:eastAsia="en-GB"/>
        </w:rPr>
      </w:pPr>
      <w:r>
        <w:rPr>
          <w:rFonts w:cstheme="minorHAnsi"/>
          <w:b/>
          <w:bCs/>
          <w:szCs w:val="24"/>
          <w:lang w:eastAsia="en-GB"/>
        </w:rPr>
        <w:t>Admissions Appeal Form</w:t>
      </w:r>
    </w:p>
    <w:p w:rsidR="000D0319" w:rsidRDefault="000D0319" w:rsidP="000D0319">
      <w:pPr>
        <w:autoSpaceDE w:val="0"/>
        <w:autoSpaceDN w:val="0"/>
        <w:adjustRightInd w:val="0"/>
        <w:rPr>
          <w:rFonts w:cstheme="minorHAnsi"/>
          <w:szCs w:val="24"/>
          <w:lang w:eastAsia="en-GB"/>
        </w:rPr>
      </w:pPr>
    </w:p>
    <w:p w:rsidR="000D0319" w:rsidRDefault="000D0319" w:rsidP="000D0319">
      <w:pPr>
        <w:autoSpaceDE w:val="0"/>
        <w:autoSpaceDN w:val="0"/>
        <w:adjustRightInd w:val="0"/>
        <w:rPr>
          <w:rFonts w:cstheme="minorHAnsi"/>
          <w:b/>
          <w:bCs/>
          <w:szCs w:val="24"/>
          <w:lang w:eastAsia="en-GB"/>
        </w:rPr>
      </w:pPr>
      <w:r>
        <w:rPr>
          <w:rFonts w:cstheme="minorHAnsi"/>
          <w:b/>
          <w:bCs/>
          <w:szCs w:val="24"/>
          <w:lang w:eastAsia="en-GB"/>
        </w:rPr>
        <w:t>Important Notes</w:t>
      </w:r>
    </w:p>
    <w:p w:rsidR="000D0319" w:rsidRDefault="000D0319" w:rsidP="000D0319">
      <w:pPr>
        <w:autoSpaceDE w:val="0"/>
        <w:autoSpaceDN w:val="0"/>
        <w:adjustRightInd w:val="0"/>
        <w:rPr>
          <w:rFonts w:cstheme="minorHAnsi"/>
          <w:szCs w:val="24"/>
          <w:lang w:eastAsia="en-GB"/>
        </w:rPr>
      </w:pPr>
      <w:r>
        <w:rPr>
          <w:rFonts w:cstheme="minorHAnsi"/>
          <w:szCs w:val="24"/>
          <w:lang w:eastAsia="en-GB"/>
        </w:rPr>
        <w:t>Make sure you have read and understood the Admissions Appeals Procedure before completing this form.</w:t>
      </w:r>
    </w:p>
    <w:p w:rsidR="000D0319" w:rsidRDefault="000D0319" w:rsidP="000D0319">
      <w:pPr>
        <w:autoSpaceDE w:val="0"/>
        <w:autoSpaceDN w:val="0"/>
        <w:adjustRightInd w:val="0"/>
        <w:rPr>
          <w:rFonts w:cstheme="minorHAnsi"/>
          <w:szCs w:val="24"/>
          <w:lang w:eastAsia="en-GB"/>
        </w:rPr>
      </w:pPr>
    </w:p>
    <w:p w:rsidR="000D0319" w:rsidRDefault="000D0319" w:rsidP="000D0319">
      <w:pPr>
        <w:autoSpaceDE w:val="0"/>
        <w:autoSpaceDN w:val="0"/>
        <w:adjustRightInd w:val="0"/>
        <w:rPr>
          <w:rFonts w:cstheme="minorHAnsi"/>
          <w:szCs w:val="24"/>
          <w:lang w:eastAsia="en-GB"/>
        </w:rPr>
      </w:pPr>
      <w:r>
        <w:rPr>
          <w:rFonts w:cstheme="minorHAnsi"/>
          <w:szCs w:val="24"/>
          <w:lang w:eastAsia="en-GB"/>
        </w:rPr>
        <w:t xml:space="preserve">Appeals must be submitted within 10 working days </w:t>
      </w:r>
      <w:r>
        <w:rPr>
          <w:rFonts w:cstheme="minorHAnsi"/>
          <w:szCs w:val="24"/>
        </w:rPr>
        <w:t>of the date given on the initial correspondence outlining the selection outcome.</w:t>
      </w:r>
    </w:p>
    <w:p w:rsidR="000D0319" w:rsidRDefault="000D0319" w:rsidP="000D0319">
      <w:pPr>
        <w:autoSpaceDE w:val="0"/>
        <w:autoSpaceDN w:val="0"/>
        <w:adjustRightInd w:val="0"/>
        <w:rPr>
          <w:rFonts w:cstheme="minorHAnsi"/>
          <w:b/>
          <w:bCs/>
          <w:szCs w:val="24"/>
          <w:lang w:eastAsia="en-GB"/>
        </w:rPr>
      </w:pPr>
    </w:p>
    <w:p w:rsidR="000D0319" w:rsidRDefault="000D0319" w:rsidP="000D0319">
      <w:pPr>
        <w:autoSpaceDE w:val="0"/>
        <w:autoSpaceDN w:val="0"/>
        <w:adjustRightInd w:val="0"/>
        <w:rPr>
          <w:rFonts w:cstheme="minorHAnsi"/>
          <w:bCs/>
          <w:szCs w:val="24"/>
          <w:lang w:eastAsia="en-GB"/>
        </w:rPr>
      </w:pPr>
      <w:r>
        <w:rPr>
          <w:rFonts w:cstheme="minorHAnsi"/>
          <w:bCs/>
          <w:szCs w:val="24"/>
          <w:lang w:eastAsia="en-GB"/>
        </w:rPr>
        <w:t>Please return this form to:</w:t>
      </w:r>
    </w:p>
    <w:p w:rsidR="000D0319" w:rsidRDefault="000D0319" w:rsidP="000D0319">
      <w:pPr>
        <w:autoSpaceDE w:val="0"/>
        <w:autoSpaceDN w:val="0"/>
        <w:adjustRightInd w:val="0"/>
        <w:rPr>
          <w:rFonts w:cstheme="minorHAnsi"/>
          <w:bCs/>
          <w:szCs w:val="24"/>
          <w:lang w:eastAsia="en-GB"/>
        </w:rPr>
      </w:pPr>
      <w:r>
        <w:rPr>
          <w:rFonts w:cstheme="minorHAnsi"/>
          <w:bCs/>
          <w:szCs w:val="24"/>
          <w:lang w:eastAsia="en-GB"/>
        </w:rPr>
        <w:t xml:space="preserve">Leeds </w:t>
      </w:r>
      <w:r w:rsidR="002E6456">
        <w:rPr>
          <w:rFonts w:cstheme="minorHAnsi"/>
          <w:bCs/>
          <w:szCs w:val="24"/>
          <w:lang w:eastAsia="en-GB"/>
        </w:rPr>
        <w:t>Conservatoire</w:t>
      </w:r>
      <w:r>
        <w:rPr>
          <w:rFonts w:cstheme="minorHAnsi"/>
          <w:bCs/>
          <w:szCs w:val="24"/>
          <w:lang w:eastAsia="en-GB"/>
        </w:rPr>
        <w:t>, 3 Quarry Hill, Leeds, LS2 7PD</w:t>
      </w:r>
    </w:p>
    <w:p w:rsidR="000D0319" w:rsidRDefault="000D0319" w:rsidP="000D0319">
      <w:pPr>
        <w:autoSpaceDE w:val="0"/>
        <w:autoSpaceDN w:val="0"/>
        <w:adjustRightInd w:val="0"/>
        <w:rPr>
          <w:rFonts w:cstheme="minorHAnsi"/>
          <w:bCs/>
          <w:szCs w:val="24"/>
          <w:lang w:eastAsia="en-GB"/>
        </w:rPr>
      </w:pPr>
    </w:p>
    <w:p w:rsidR="000D0319" w:rsidRDefault="000D0319" w:rsidP="000D0319">
      <w:pPr>
        <w:autoSpaceDE w:val="0"/>
        <w:autoSpaceDN w:val="0"/>
        <w:adjustRightInd w:val="0"/>
        <w:rPr>
          <w:rFonts w:cstheme="minorHAnsi"/>
          <w:b/>
          <w:bCs/>
          <w:szCs w:val="24"/>
          <w:lang w:eastAsia="en-GB"/>
        </w:rPr>
      </w:pPr>
      <w:r>
        <w:rPr>
          <w:rFonts w:cstheme="minorHAnsi"/>
          <w:b/>
          <w:bCs/>
          <w:szCs w:val="24"/>
          <w:lang w:eastAsia="en-GB"/>
        </w:rPr>
        <w:t>Your Details</w:t>
      </w:r>
    </w:p>
    <w:p w:rsidR="000D0319" w:rsidRDefault="000D0319" w:rsidP="000D0319">
      <w:pPr>
        <w:autoSpaceDE w:val="0"/>
        <w:autoSpaceDN w:val="0"/>
        <w:adjustRightInd w:val="0"/>
        <w:rPr>
          <w:rFonts w:cstheme="minorHAnsi"/>
          <w:szCs w:val="24"/>
          <w:lang w:eastAsia="en-GB"/>
        </w:rPr>
      </w:pPr>
    </w:p>
    <w:p w:rsidR="000D0319" w:rsidRPr="000D0319" w:rsidRDefault="000D0319" w:rsidP="000D0319">
      <w:pPr>
        <w:autoSpaceDE w:val="0"/>
        <w:autoSpaceDN w:val="0"/>
        <w:adjustRightInd w:val="0"/>
        <w:rPr>
          <w:rFonts w:cstheme="minorHAnsi"/>
          <w:color w:val="FF0000"/>
          <w:szCs w:val="24"/>
          <w:lang w:eastAsia="en-GB"/>
        </w:rPr>
      </w:pPr>
      <w:r>
        <w:rPr>
          <w:rFonts w:cstheme="minorHAnsi"/>
          <w:szCs w:val="24"/>
          <w:lang w:eastAsia="en-GB"/>
        </w:rPr>
        <w:t>Applicant number</w:t>
      </w:r>
    </w:p>
    <w:p w:rsidR="000D0319" w:rsidRDefault="000D0319" w:rsidP="000D0319">
      <w:pPr>
        <w:autoSpaceDE w:val="0"/>
        <w:autoSpaceDN w:val="0"/>
        <w:adjustRightInd w:val="0"/>
        <w:rPr>
          <w:rFonts w:cstheme="minorHAnsi"/>
          <w:szCs w:val="24"/>
          <w:lang w:eastAsia="en-GB"/>
        </w:rPr>
      </w:pPr>
    </w:p>
    <w:p w:rsidR="000D0319" w:rsidRDefault="000D0319" w:rsidP="000D0319">
      <w:pPr>
        <w:autoSpaceDE w:val="0"/>
        <w:autoSpaceDN w:val="0"/>
        <w:adjustRightInd w:val="0"/>
        <w:rPr>
          <w:rFonts w:cstheme="minorHAnsi"/>
          <w:szCs w:val="24"/>
          <w:lang w:eastAsia="en-GB"/>
        </w:rPr>
      </w:pPr>
      <w:r>
        <w:rPr>
          <w:rFonts w:cstheme="minorHAnsi"/>
          <w:szCs w:val="24"/>
          <w:lang w:eastAsia="en-GB"/>
        </w:rPr>
        <w:t>Full name</w:t>
      </w:r>
    </w:p>
    <w:p w:rsidR="000D0319" w:rsidRDefault="000D0319" w:rsidP="000D0319">
      <w:pPr>
        <w:autoSpaceDE w:val="0"/>
        <w:autoSpaceDN w:val="0"/>
        <w:adjustRightInd w:val="0"/>
        <w:rPr>
          <w:rFonts w:cstheme="minorHAnsi"/>
          <w:szCs w:val="24"/>
          <w:lang w:eastAsia="en-GB"/>
        </w:rPr>
      </w:pPr>
    </w:p>
    <w:p w:rsidR="000D0319" w:rsidRDefault="000D0319" w:rsidP="000D0319">
      <w:pPr>
        <w:autoSpaceDE w:val="0"/>
        <w:autoSpaceDN w:val="0"/>
        <w:adjustRightInd w:val="0"/>
        <w:rPr>
          <w:rFonts w:cstheme="minorHAnsi"/>
          <w:szCs w:val="24"/>
          <w:lang w:eastAsia="en-GB"/>
        </w:rPr>
      </w:pPr>
      <w:r>
        <w:rPr>
          <w:rFonts w:cstheme="minorHAnsi"/>
          <w:szCs w:val="24"/>
          <w:lang w:eastAsia="en-GB"/>
        </w:rPr>
        <w:t>Tel No (</w:t>
      </w:r>
      <w:proofErr w:type="spellStart"/>
      <w:r>
        <w:rPr>
          <w:rFonts w:cstheme="minorHAnsi"/>
          <w:szCs w:val="24"/>
          <w:lang w:eastAsia="en-GB"/>
        </w:rPr>
        <w:t>inc.</w:t>
      </w:r>
      <w:proofErr w:type="spellEnd"/>
      <w:r>
        <w:rPr>
          <w:rFonts w:cstheme="minorHAnsi"/>
          <w:szCs w:val="24"/>
          <w:lang w:eastAsia="en-GB"/>
        </w:rPr>
        <w:t xml:space="preserve"> mobile)</w:t>
      </w:r>
    </w:p>
    <w:p w:rsidR="000D0319" w:rsidRDefault="000D0319" w:rsidP="000D0319">
      <w:pPr>
        <w:autoSpaceDE w:val="0"/>
        <w:autoSpaceDN w:val="0"/>
        <w:adjustRightInd w:val="0"/>
        <w:rPr>
          <w:rFonts w:cstheme="minorHAnsi"/>
          <w:szCs w:val="24"/>
          <w:lang w:eastAsia="en-GB"/>
        </w:rPr>
      </w:pPr>
    </w:p>
    <w:p w:rsidR="000D0319" w:rsidRDefault="000D0319" w:rsidP="000D0319">
      <w:pPr>
        <w:autoSpaceDE w:val="0"/>
        <w:autoSpaceDN w:val="0"/>
        <w:adjustRightInd w:val="0"/>
        <w:rPr>
          <w:rFonts w:cstheme="minorHAnsi"/>
          <w:szCs w:val="24"/>
          <w:lang w:eastAsia="en-GB"/>
        </w:rPr>
      </w:pPr>
      <w:r>
        <w:rPr>
          <w:rFonts w:cstheme="minorHAnsi"/>
          <w:szCs w:val="24"/>
          <w:lang w:eastAsia="en-GB"/>
        </w:rPr>
        <w:t>Course you applied for</w:t>
      </w:r>
    </w:p>
    <w:p w:rsidR="000D0319" w:rsidRDefault="000D0319" w:rsidP="000D0319">
      <w:pPr>
        <w:autoSpaceDE w:val="0"/>
        <w:autoSpaceDN w:val="0"/>
        <w:adjustRightInd w:val="0"/>
        <w:rPr>
          <w:rFonts w:cstheme="minorHAnsi"/>
          <w:szCs w:val="24"/>
          <w:lang w:eastAsia="en-GB"/>
        </w:rPr>
      </w:pPr>
    </w:p>
    <w:p w:rsidR="000D0319" w:rsidRDefault="000D0319" w:rsidP="000D0319">
      <w:pPr>
        <w:autoSpaceDE w:val="0"/>
        <w:autoSpaceDN w:val="0"/>
        <w:adjustRightInd w:val="0"/>
        <w:rPr>
          <w:rFonts w:cstheme="minorHAnsi"/>
          <w:szCs w:val="24"/>
          <w:lang w:eastAsia="en-GB"/>
        </w:rPr>
      </w:pPr>
      <w:r>
        <w:rPr>
          <w:rFonts w:cstheme="minorHAnsi"/>
          <w:szCs w:val="24"/>
          <w:lang w:eastAsia="en-GB"/>
        </w:rPr>
        <w:t>Address for all correspondence concerning the appeal</w:t>
      </w:r>
    </w:p>
    <w:p w:rsidR="000D0319" w:rsidRDefault="000D0319" w:rsidP="000D0319">
      <w:pPr>
        <w:autoSpaceDE w:val="0"/>
        <w:autoSpaceDN w:val="0"/>
        <w:adjustRightInd w:val="0"/>
        <w:rPr>
          <w:rFonts w:cstheme="minorHAnsi"/>
          <w:szCs w:val="24"/>
          <w:lang w:eastAsia="en-GB"/>
        </w:rPr>
      </w:pPr>
    </w:p>
    <w:p w:rsidR="000D0319" w:rsidRDefault="000D0319" w:rsidP="000D0319">
      <w:pPr>
        <w:autoSpaceDE w:val="0"/>
        <w:autoSpaceDN w:val="0"/>
        <w:adjustRightInd w:val="0"/>
        <w:rPr>
          <w:rFonts w:cstheme="minorHAnsi"/>
          <w:szCs w:val="24"/>
          <w:lang w:eastAsia="en-GB"/>
        </w:rPr>
      </w:pPr>
    </w:p>
    <w:p w:rsidR="000D0319" w:rsidRDefault="000D0319" w:rsidP="000D0319">
      <w:pPr>
        <w:autoSpaceDE w:val="0"/>
        <w:autoSpaceDN w:val="0"/>
        <w:adjustRightInd w:val="0"/>
        <w:rPr>
          <w:rFonts w:cstheme="minorHAnsi"/>
          <w:szCs w:val="24"/>
          <w:lang w:eastAsia="en-GB"/>
        </w:rPr>
      </w:pPr>
    </w:p>
    <w:p w:rsidR="000D0319" w:rsidRDefault="000D0319" w:rsidP="000D0319">
      <w:pPr>
        <w:autoSpaceDE w:val="0"/>
        <w:autoSpaceDN w:val="0"/>
        <w:adjustRightInd w:val="0"/>
        <w:rPr>
          <w:rFonts w:cstheme="minorHAnsi"/>
          <w:szCs w:val="24"/>
          <w:lang w:eastAsia="en-GB"/>
        </w:rPr>
      </w:pPr>
    </w:p>
    <w:p w:rsidR="000D0319" w:rsidRDefault="000D0319" w:rsidP="000D0319">
      <w:pPr>
        <w:autoSpaceDE w:val="0"/>
        <w:autoSpaceDN w:val="0"/>
        <w:adjustRightInd w:val="0"/>
        <w:rPr>
          <w:rFonts w:cstheme="minorHAnsi"/>
          <w:szCs w:val="24"/>
          <w:lang w:eastAsia="en-GB"/>
        </w:rPr>
      </w:pPr>
    </w:p>
    <w:p w:rsidR="000D0319" w:rsidRDefault="000D0319" w:rsidP="000D0319">
      <w:pPr>
        <w:autoSpaceDE w:val="0"/>
        <w:autoSpaceDN w:val="0"/>
        <w:adjustRightInd w:val="0"/>
        <w:rPr>
          <w:rFonts w:cstheme="minorHAnsi"/>
          <w:b/>
          <w:bCs/>
          <w:szCs w:val="24"/>
          <w:lang w:eastAsia="en-GB"/>
        </w:rPr>
      </w:pPr>
    </w:p>
    <w:p w:rsidR="000D0319" w:rsidRDefault="000D0319" w:rsidP="000D0319">
      <w:pPr>
        <w:autoSpaceDE w:val="0"/>
        <w:autoSpaceDN w:val="0"/>
        <w:adjustRightInd w:val="0"/>
        <w:rPr>
          <w:rFonts w:cstheme="minorHAnsi"/>
          <w:b/>
          <w:bCs/>
          <w:szCs w:val="24"/>
          <w:lang w:eastAsia="en-GB"/>
        </w:rPr>
      </w:pPr>
    </w:p>
    <w:p w:rsidR="000D0319" w:rsidRDefault="000D0319" w:rsidP="000D0319">
      <w:pPr>
        <w:autoSpaceDE w:val="0"/>
        <w:autoSpaceDN w:val="0"/>
        <w:adjustRightInd w:val="0"/>
        <w:rPr>
          <w:rFonts w:cstheme="minorHAnsi"/>
          <w:b/>
          <w:bCs/>
          <w:szCs w:val="24"/>
          <w:lang w:eastAsia="en-GB"/>
        </w:rPr>
      </w:pPr>
      <w:r>
        <w:rPr>
          <w:rFonts w:cstheme="minorHAnsi"/>
          <w:b/>
          <w:bCs/>
          <w:szCs w:val="24"/>
          <w:lang w:eastAsia="en-GB"/>
        </w:rPr>
        <w:t>Grounds for Appeal</w:t>
      </w:r>
    </w:p>
    <w:p w:rsidR="000D0319" w:rsidRDefault="000D0319" w:rsidP="000D0319">
      <w:pPr>
        <w:rPr>
          <w:rFonts w:cstheme="minorHAnsi"/>
          <w:szCs w:val="24"/>
        </w:rPr>
      </w:pPr>
    </w:p>
    <w:p w:rsidR="000D0319" w:rsidRDefault="000D0319" w:rsidP="000D0319">
      <w:pPr>
        <w:numPr>
          <w:ilvl w:val="0"/>
          <w:numId w:val="13"/>
        </w:numPr>
        <w:tabs>
          <w:tab w:val="num" w:pos="284"/>
        </w:tabs>
        <w:spacing w:after="0" w:line="240" w:lineRule="auto"/>
        <w:ind w:left="284" w:hanging="284"/>
        <w:rPr>
          <w:rFonts w:cstheme="minorHAnsi"/>
          <w:szCs w:val="24"/>
        </w:rPr>
      </w:pPr>
      <w:r>
        <w:rPr>
          <w:rFonts w:cstheme="minorHAnsi"/>
          <w:szCs w:val="24"/>
        </w:rPr>
        <w:t>Relevant information was missing from the original application</w:t>
      </w:r>
      <w:r>
        <w:rPr>
          <w:rFonts w:cstheme="minorHAnsi"/>
          <w:szCs w:val="24"/>
        </w:rPr>
        <w:tab/>
      </w:r>
      <w:r>
        <w:rPr>
          <w:rFonts w:cstheme="minorHAnsi"/>
          <w:szCs w:val="24"/>
        </w:rPr>
        <w:tab/>
        <w:t>YES/NO</w:t>
      </w:r>
    </w:p>
    <w:p w:rsidR="000D0319" w:rsidRDefault="000D0319" w:rsidP="000D0319">
      <w:pPr>
        <w:rPr>
          <w:rFonts w:cstheme="minorHAnsi"/>
          <w:szCs w:val="24"/>
        </w:rPr>
      </w:pPr>
    </w:p>
    <w:p w:rsidR="000D0319" w:rsidRDefault="000D0319" w:rsidP="000D0319">
      <w:pPr>
        <w:numPr>
          <w:ilvl w:val="0"/>
          <w:numId w:val="13"/>
        </w:numPr>
        <w:tabs>
          <w:tab w:val="num" w:pos="284"/>
        </w:tabs>
        <w:spacing w:after="0" w:line="240" w:lineRule="auto"/>
        <w:ind w:left="284" w:hanging="284"/>
        <w:rPr>
          <w:rFonts w:cstheme="minorHAnsi"/>
          <w:szCs w:val="24"/>
        </w:rPr>
      </w:pPr>
      <w:r>
        <w:rPr>
          <w:rFonts w:cstheme="minorHAnsi"/>
          <w:szCs w:val="24"/>
        </w:rPr>
        <w:t xml:space="preserve">There has been a misinterpretation of information or data </w:t>
      </w:r>
    </w:p>
    <w:p w:rsidR="000D0319" w:rsidRDefault="000D0319" w:rsidP="000D0319">
      <w:pPr>
        <w:rPr>
          <w:rFonts w:cstheme="minorHAnsi"/>
          <w:szCs w:val="24"/>
        </w:rPr>
      </w:pPr>
      <w:r>
        <w:rPr>
          <w:rFonts w:cstheme="minorHAnsi"/>
          <w:szCs w:val="24"/>
        </w:rPr>
        <w:t>contained within the original application</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YES/NO</w:t>
      </w:r>
    </w:p>
    <w:p w:rsidR="000D0319" w:rsidRDefault="000D0319" w:rsidP="000D0319">
      <w:pPr>
        <w:rPr>
          <w:rFonts w:cstheme="minorHAnsi"/>
          <w:szCs w:val="24"/>
        </w:rPr>
      </w:pPr>
    </w:p>
    <w:p w:rsidR="000D0319" w:rsidRDefault="000D0319" w:rsidP="000D0319">
      <w:pPr>
        <w:numPr>
          <w:ilvl w:val="0"/>
          <w:numId w:val="13"/>
        </w:numPr>
        <w:tabs>
          <w:tab w:val="num" w:pos="284"/>
        </w:tabs>
        <w:spacing w:after="0" w:line="240" w:lineRule="auto"/>
        <w:ind w:hanging="720"/>
        <w:rPr>
          <w:rFonts w:cstheme="minorHAnsi"/>
          <w:szCs w:val="24"/>
        </w:rPr>
      </w:pPr>
      <w:r>
        <w:rPr>
          <w:rFonts w:cstheme="minorHAnsi"/>
          <w:szCs w:val="24"/>
        </w:rPr>
        <w:t>There is evidence of bias or prejudice</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YES/NO</w:t>
      </w:r>
    </w:p>
    <w:p w:rsidR="000D0319" w:rsidRDefault="000D0319" w:rsidP="000D0319">
      <w:pPr>
        <w:rPr>
          <w:rFonts w:cstheme="minorHAnsi"/>
          <w:szCs w:val="24"/>
        </w:rPr>
      </w:pPr>
    </w:p>
    <w:p w:rsidR="000D0319" w:rsidRDefault="000D0319" w:rsidP="000D0319">
      <w:pPr>
        <w:numPr>
          <w:ilvl w:val="0"/>
          <w:numId w:val="13"/>
        </w:numPr>
        <w:tabs>
          <w:tab w:val="num" w:pos="284"/>
        </w:tabs>
        <w:spacing w:after="0" w:line="240" w:lineRule="auto"/>
        <w:ind w:hanging="720"/>
        <w:rPr>
          <w:rFonts w:cstheme="minorHAnsi"/>
          <w:szCs w:val="24"/>
        </w:rPr>
      </w:pPr>
      <w:r>
        <w:rPr>
          <w:rFonts w:cstheme="minorHAnsi"/>
          <w:szCs w:val="24"/>
        </w:rPr>
        <w:t xml:space="preserve">There was a procedural irregularity in the handling of the </w:t>
      </w:r>
    </w:p>
    <w:p w:rsidR="000D0319" w:rsidRDefault="000D0319" w:rsidP="000D0319">
      <w:pPr>
        <w:rPr>
          <w:rFonts w:cstheme="minorHAnsi"/>
          <w:szCs w:val="24"/>
        </w:rPr>
      </w:pPr>
      <w:r>
        <w:rPr>
          <w:rFonts w:cstheme="minorHAnsi"/>
          <w:szCs w:val="24"/>
        </w:rPr>
        <w:t>application</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YES/NO</w:t>
      </w:r>
    </w:p>
    <w:p w:rsidR="000D0319" w:rsidRDefault="000D0319" w:rsidP="000D0319">
      <w:pPr>
        <w:autoSpaceDE w:val="0"/>
        <w:autoSpaceDN w:val="0"/>
        <w:adjustRightInd w:val="0"/>
        <w:rPr>
          <w:rFonts w:cstheme="minorHAnsi"/>
          <w:b/>
          <w:bCs/>
          <w:szCs w:val="24"/>
          <w:lang w:eastAsia="en-GB"/>
        </w:rPr>
      </w:pPr>
      <w:r>
        <w:rPr>
          <w:rFonts w:cstheme="minorHAnsi"/>
          <w:b/>
          <w:bCs/>
          <w:szCs w:val="24"/>
          <w:lang w:eastAsia="en-GB"/>
        </w:rPr>
        <w:br w:type="page"/>
      </w:r>
      <w:r>
        <w:rPr>
          <w:rFonts w:cstheme="minorHAnsi"/>
          <w:b/>
          <w:bCs/>
          <w:szCs w:val="24"/>
          <w:lang w:eastAsia="en-GB"/>
        </w:rPr>
        <w:lastRenderedPageBreak/>
        <w:t>Details of Appeal</w:t>
      </w:r>
    </w:p>
    <w:p w:rsidR="000D0319" w:rsidRDefault="000D0319" w:rsidP="000D0319">
      <w:pPr>
        <w:autoSpaceDE w:val="0"/>
        <w:autoSpaceDN w:val="0"/>
        <w:adjustRightInd w:val="0"/>
        <w:rPr>
          <w:rFonts w:cstheme="minorHAnsi"/>
          <w:b/>
          <w:bCs/>
          <w:szCs w:val="24"/>
          <w:lang w:eastAsia="en-GB"/>
        </w:rPr>
      </w:pPr>
      <w:r>
        <w:rPr>
          <w:rFonts w:cstheme="minorHAnsi"/>
          <w:szCs w:val="24"/>
          <w:lang w:eastAsia="en-GB"/>
        </w:rPr>
        <w:t>Please explain why you consider that you have grounds for appeal.  Please enclose any supporting evidence that you refer to.</w:t>
      </w:r>
    </w:p>
    <w:p w:rsidR="000D0319" w:rsidRDefault="000D0319" w:rsidP="000D0319">
      <w:pPr>
        <w:autoSpaceDE w:val="0"/>
        <w:autoSpaceDN w:val="0"/>
        <w:adjustRightInd w:val="0"/>
        <w:rPr>
          <w:rFonts w:cstheme="minorHAnsi"/>
          <w:b/>
          <w:bCs/>
          <w:szCs w:val="24"/>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ascii="Helvetica-Bold" w:hAnsi="Helvetica-Bold" w:cs="Helvetica-Bold"/>
          <w:b/>
          <w:bCs/>
          <w:sz w:val="23"/>
          <w:szCs w:val="23"/>
          <w:lang w:eastAsia="en-GB"/>
        </w:rPr>
      </w:pPr>
    </w:p>
    <w:p w:rsidR="000D0319" w:rsidRDefault="000D0319" w:rsidP="000D0319">
      <w:pPr>
        <w:autoSpaceDE w:val="0"/>
        <w:autoSpaceDN w:val="0"/>
        <w:adjustRightInd w:val="0"/>
        <w:rPr>
          <w:rFonts w:cstheme="minorHAnsi"/>
          <w:b/>
          <w:bCs/>
          <w:sz w:val="24"/>
          <w:szCs w:val="24"/>
          <w:lang w:eastAsia="en-GB"/>
        </w:rPr>
      </w:pPr>
      <w:r>
        <w:rPr>
          <w:rFonts w:cstheme="minorHAnsi"/>
          <w:b/>
          <w:bCs/>
          <w:szCs w:val="24"/>
          <w:lang w:eastAsia="en-GB"/>
        </w:rPr>
        <w:t>Declaration</w:t>
      </w:r>
    </w:p>
    <w:p w:rsidR="000D0319" w:rsidRDefault="000D0319" w:rsidP="000D0319">
      <w:pPr>
        <w:autoSpaceDE w:val="0"/>
        <w:autoSpaceDN w:val="0"/>
        <w:adjustRightInd w:val="0"/>
        <w:rPr>
          <w:rFonts w:cstheme="minorHAnsi"/>
          <w:szCs w:val="24"/>
          <w:lang w:eastAsia="en-GB"/>
        </w:rPr>
      </w:pPr>
      <w:r>
        <w:rPr>
          <w:rFonts w:cstheme="minorHAnsi"/>
          <w:szCs w:val="24"/>
          <w:lang w:eastAsia="en-GB"/>
        </w:rPr>
        <w:t>I confirm that I have read and understood the Admissions Appeals procedure, and that the information I have given is true and accurate to the best of my knowledge.</w:t>
      </w:r>
    </w:p>
    <w:p w:rsidR="000D0319" w:rsidRDefault="000D0319" w:rsidP="000D0319">
      <w:pPr>
        <w:jc w:val="center"/>
        <w:rPr>
          <w:rFonts w:cstheme="minorHAnsi"/>
          <w:szCs w:val="24"/>
          <w:lang w:eastAsia="en-GB"/>
        </w:rPr>
      </w:pPr>
    </w:p>
    <w:p w:rsidR="00F2342B" w:rsidRPr="000D0319" w:rsidRDefault="000D0319" w:rsidP="000D0319">
      <w:pPr>
        <w:rPr>
          <w:rFonts w:ascii="Arial" w:hAnsi="Arial" w:cs="Times New Roman"/>
          <w:szCs w:val="24"/>
        </w:rPr>
      </w:pPr>
      <w:r>
        <w:rPr>
          <w:rFonts w:cstheme="minorHAnsi"/>
          <w:szCs w:val="24"/>
          <w:lang w:eastAsia="en-GB"/>
        </w:rPr>
        <w:t>Signature</w:t>
      </w:r>
      <w:r>
        <w:rPr>
          <w:rFonts w:cstheme="minorHAnsi"/>
          <w:szCs w:val="24"/>
          <w:lang w:eastAsia="en-GB"/>
        </w:rPr>
        <w:tab/>
      </w:r>
      <w:r>
        <w:rPr>
          <w:rFonts w:cstheme="minorHAnsi"/>
          <w:szCs w:val="24"/>
          <w:lang w:eastAsia="en-GB"/>
        </w:rPr>
        <w:tab/>
      </w:r>
      <w:r>
        <w:rPr>
          <w:rFonts w:cstheme="minorHAnsi"/>
          <w:szCs w:val="24"/>
          <w:lang w:eastAsia="en-GB"/>
        </w:rPr>
        <w:tab/>
      </w:r>
      <w:r>
        <w:rPr>
          <w:rFonts w:cstheme="minorHAnsi"/>
          <w:szCs w:val="24"/>
          <w:lang w:eastAsia="en-GB"/>
        </w:rPr>
        <w:tab/>
      </w:r>
      <w:r>
        <w:rPr>
          <w:rFonts w:cstheme="minorHAnsi"/>
          <w:szCs w:val="24"/>
          <w:lang w:eastAsia="en-GB"/>
        </w:rPr>
        <w:tab/>
      </w:r>
      <w:r>
        <w:rPr>
          <w:rFonts w:cstheme="minorHAnsi"/>
          <w:szCs w:val="24"/>
          <w:lang w:eastAsia="en-GB"/>
        </w:rPr>
        <w:tab/>
        <w:t>Date</w:t>
      </w:r>
      <w:r>
        <w:rPr>
          <w:rFonts w:cstheme="minorHAnsi"/>
          <w:szCs w:val="24"/>
          <w:lang w:eastAsia="en-GB"/>
        </w:rPr>
        <w:tab/>
      </w:r>
      <w:r>
        <w:rPr>
          <w:rFonts w:cstheme="minorHAnsi"/>
          <w:szCs w:val="24"/>
          <w:lang w:eastAsia="en-GB"/>
        </w:rPr>
        <w:tab/>
      </w:r>
      <w:r>
        <w:rPr>
          <w:rFonts w:ascii="Helvetica" w:hAnsi="Helvetica"/>
          <w:sz w:val="23"/>
          <w:szCs w:val="23"/>
          <w:lang w:eastAsia="en-GB"/>
        </w:rPr>
        <w:tab/>
      </w:r>
    </w:p>
    <w:sectPr w:rsidR="00F2342B" w:rsidRPr="000D0319" w:rsidSect="00BB1AA1">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5E9" w:rsidRDefault="002165E9" w:rsidP="00BB1AA1">
      <w:pPr>
        <w:spacing w:after="0" w:line="240" w:lineRule="auto"/>
      </w:pPr>
      <w:r>
        <w:separator/>
      </w:r>
    </w:p>
  </w:endnote>
  <w:endnote w:type="continuationSeparator" w:id="0">
    <w:p w:rsidR="002165E9" w:rsidRDefault="002165E9" w:rsidP="00BB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Rama Gothic E Regular">
    <w:panose1 w:val="04050503020B02020202"/>
    <w:charset w:val="00"/>
    <w:family w:val="decorative"/>
    <w:notTrueType/>
    <w:pitch w:val="variable"/>
    <w:sig w:usb0="A00000AF" w:usb1="40002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Helvetica-Bold">
    <w:altName w:val="Times New Roman"/>
    <w:charset w:val="00"/>
    <w:family w:val="auto"/>
    <w:pitch w:val="variable"/>
    <w:sig w:usb0="00000001"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388524"/>
      <w:docPartObj>
        <w:docPartGallery w:val="Page Numbers (Bottom of Page)"/>
        <w:docPartUnique/>
      </w:docPartObj>
    </w:sdtPr>
    <w:sdtEndPr>
      <w:rPr>
        <w:noProof/>
      </w:rPr>
    </w:sdtEndPr>
    <w:sdtContent>
      <w:p w:rsidR="000D0319" w:rsidRDefault="000D03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D0319" w:rsidRDefault="000D0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5E9" w:rsidRDefault="002165E9" w:rsidP="00BB1AA1">
      <w:pPr>
        <w:spacing w:after="0" w:line="240" w:lineRule="auto"/>
      </w:pPr>
      <w:r>
        <w:separator/>
      </w:r>
    </w:p>
  </w:footnote>
  <w:footnote w:type="continuationSeparator" w:id="0">
    <w:p w:rsidR="002165E9" w:rsidRDefault="002165E9" w:rsidP="00BB1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E6" w:rsidRDefault="00C67EE6" w:rsidP="00C67EE6">
    <w:pPr>
      <w:pStyle w:val="Header"/>
      <w:rPr>
        <w:rFonts w:ascii="Rama Gothic E Regular" w:hAnsi="Rama Gothic E Regular"/>
        <w:b/>
        <w:color w:val="1F4E79" w:themeColor="accent1" w:themeShade="80"/>
        <w:sz w:val="40"/>
      </w:rPr>
    </w:pPr>
    <w:r>
      <w:rPr>
        <w:noProof/>
        <w:lang w:eastAsia="en-GB"/>
      </w:rPr>
      <w:drawing>
        <wp:anchor distT="0" distB="0" distL="114300" distR="114300" simplePos="0" relativeHeight="251659264" behindDoc="1" locked="0" layoutInCell="1" allowOverlap="1" wp14:anchorId="4C0F7FF2" wp14:editId="09AC330B">
          <wp:simplePos x="0" y="0"/>
          <wp:positionH relativeFrom="margin">
            <wp:posOffset>4191000</wp:posOffset>
          </wp:positionH>
          <wp:positionV relativeFrom="paragraph">
            <wp:posOffset>22860</wp:posOffset>
          </wp:positionV>
          <wp:extent cx="1543050" cy="812800"/>
          <wp:effectExtent l="0" t="0" r="0" b="6350"/>
          <wp:wrapThrough wrapText="bothSides">
            <wp:wrapPolygon edited="0">
              <wp:start x="800" y="0"/>
              <wp:lineTo x="0" y="17213"/>
              <wp:lineTo x="0" y="21263"/>
              <wp:lineTo x="3200" y="21263"/>
              <wp:lineTo x="21333" y="19238"/>
              <wp:lineTo x="21333" y="0"/>
              <wp:lineTo x="800"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EE6" w:rsidRDefault="000D0319" w:rsidP="00C67EE6">
    <w:pPr>
      <w:pStyle w:val="Header"/>
      <w:rPr>
        <w:rFonts w:ascii="Rama Gothic E Regular" w:hAnsi="Rama Gothic E Regular"/>
        <w:b/>
        <w:color w:val="1F4E79" w:themeColor="accent1" w:themeShade="80"/>
        <w:sz w:val="56"/>
      </w:rPr>
    </w:pPr>
    <w:r>
      <w:rPr>
        <w:rFonts w:ascii="Rama Gothic E Regular" w:hAnsi="Rama Gothic E Regular"/>
        <w:b/>
        <w:color w:val="1F4E79" w:themeColor="accent1" w:themeShade="80"/>
        <w:sz w:val="56"/>
      </w:rPr>
      <w:t>Admissions Appeal Policy</w:t>
    </w:r>
  </w:p>
  <w:p w:rsidR="000D0319" w:rsidRPr="00685D78" w:rsidRDefault="002E6456" w:rsidP="00C67EE6">
    <w:pPr>
      <w:pStyle w:val="Header"/>
      <w:rPr>
        <w:rFonts w:ascii="Rama Gothic E Regular" w:hAnsi="Rama Gothic E Regular"/>
        <w:sz w:val="48"/>
      </w:rPr>
    </w:pPr>
    <w:r>
      <w:rPr>
        <w:rFonts w:ascii="Rama Gothic E Regular" w:hAnsi="Rama Gothic E Regular"/>
        <w:sz w:val="48"/>
      </w:rPr>
      <w:t>2023-24</w:t>
    </w:r>
  </w:p>
  <w:p w:rsidR="00C67EE6" w:rsidRPr="00C67EE6" w:rsidRDefault="00C67EE6">
    <w:pPr>
      <w:pStyle w:val="Header"/>
      <w:rPr>
        <w:rFonts w:ascii="Rama Gothic E Regular" w:hAnsi="Rama Gothic E Regula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2F1"/>
    <w:multiLevelType w:val="hybridMultilevel"/>
    <w:tmpl w:val="AE7A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73F5A"/>
    <w:multiLevelType w:val="hybridMultilevel"/>
    <w:tmpl w:val="E68A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96CC2"/>
    <w:multiLevelType w:val="hybridMultilevel"/>
    <w:tmpl w:val="36744EA0"/>
    <w:lvl w:ilvl="0" w:tplc="D6C0FAAC">
      <w:start w:val="1"/>
      <w:numFmt w:val="decimal"/>
      <w:lvlText w:val="%1."/>
      <w:lvlJc w:val="left"/>
      <w:pPr>
        <w:ind w:left="360" w:hanging="360"/>
      </w:pPr>
      <w:rPr>
        <w:b/>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2B1BEC"/>
    <w:multiLevelType w:val="hybridMultilevel"/>
    <w:tmpl w:val="D898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F2A26"/>
    <w:multiLevelType w:val="hybridMultilevel"/>
    <w:tmpl w:val="449C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C4C1C"/>
    <w:multiLevelType w:val="hybridMultilevel"/>
    <w:tmpl w:val="93F83690"/>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521F38B1"/>
    <w:multiLevelType w:val="hybridMultilevel"/>
    <w:tmpl w:val="234A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41B6C"/>
    <w:multiLevelType w:val="hybridMultilevel"/>
    <w:tmpl w:val="B024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E16320"/>
    <w:multiLevelType w:val="multilevel"/>
    <w:tmpl w:val="18D04CAC"/>
    <w:lvl w:ilvl="0">
      <w:start w:val="1"/>
      <w:numFmt w:val="decimal"/>
      <w:lvlText w:val="%1."/>
      <w:lvlJc w:val="left"/>
      <w:pPr>
        <w:ind w:left="390" w:hanging="39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5DCC14EA"/>
    <w:multiLevelType w:val="hybridMultilevel"/>
    <w:tmpl w:val="F8487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56050B9"/>
    <w:multiLevelType w:val="hybridMultilevel"/>
    <w:tmpl w:val="9A5E843A"/>
    <w:lvl w:ilvl="0" w:tplc="08090011">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1" w15:restartNumberingAfterBreak="0">
    <w:nsid w:val="711E5BC6"/>
    <w:multiLevelType w:val="hybridMultilevel"/>
    <w:tmpl w:val="16F2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F51FB"/>
    <w:multiLevelType w:val="hybridMultilevel"/>
    <w:tmpl w:val="1F789D0A"/>
    <w:lvl w:ilvl="0" w:tplc="04090001">
      <w:start w:val="1"/>
      <w:numFmt w:val="bullet"/>
      <w:lvlText w:val=""/>
      <w:lvlJc w:val="left"/>
      <w:pPr>
        <w:tabs>
          <w:tab w:val="num" w:pos="360"/>
        </w:tabs>
        <w:ind w:left="360" w:hanging="360"/>
      </w:pPr>
      <w:rPr>
        <w:rFonts w:ascii="Symbol" w:hAnsi="Symbol" w:hint="default"/>
      </w:rPr>
    </w:lvl>
    <w:lvl w:ilvl="1" w:tplc="05CCAA6C">
      <w:start w:val="1"/>
      <w:numFmt w:val="bullet"/>
      <w:lvlText w:val="-"/>
      <w:lvlJc w:val="left"/>
      <w:pPr>
        <w:tabs>
          <w:tab w:val="num" w:pos="1080"/>
        </w:tabs>
        <w:ind w:left="108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1"/>
  </w:num>
  <w:num w:numId="6">
    <w:abstractNumId w:val="11"/>
  </w:num>
  <w:num w:numId="7">
    <w:abstractNumId w:val="0"/>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A1"/>
    <w:rsid w:val="00012D57"/>
    <w:rsid w:val="000265D0"/>
    <w:rsid w:val="000279F8"/>
    <w:rsid w:val="000D0319"/>
    <w:rsid w:val="001C311A"/>
    <w:rsid w:val="002165E9"/>
    <w:rsid w:val="002E6456"/>
    <w:rsid w:val="0037702D"/>
    <w:rsid w:val="004A14B1"/>
    <w:rsid w:val="004E2FD8"/>
    <w:rsid w:val="004E68A1"/>
    <w:rsid w:val="005E0816"/>
    <w:rsid w:val="006147F5"/>
    <w:rsid w:val="00685D78"/>
    <w:rsid w:val="007450B1"/>
    <w:rsid w:val="007900D9"/>
    <w:rsid w:val="007D23F5"/>
    <w:rsid w:val="00833819"/>
    <w:rsid w:val="009B47B3"/>
    <w:rsid w:val="009F366C"/>
    <w:rsid w:val="00A31663"/>
    <w:rsid w:val="00BB1AA1"/>
    <w:rsid w:val="00BB68CE"/>
    <w:rsid w:val="00C67EE6"/>
    <w:rsid w:val="00CA28CE"/>
    <w:rsid w:val="00D36CB7"/>
    <w:rsid w:val="00D71AB0"/>
    <w:rsid w:val="00D92043"/>
    <w:rsid w:val="00ED1772"/>
    <w:rsid w:val="00F12326"/>
    <w:rsid w:val="00F23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B780F"/>
  <w15:chartTrackingRefBased/>
  <w15:docId w15:val="{B8D3BA7F-776B-457B-B005-A1A02DB0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8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1AA1"/>
    <w:pPr>
      <w:tabs>
        <w:tab w:val="center" w:pos="4513"/>
        <w:tab w:val="right" w:pos="9026"/>
      </w:tabs>
      <w:spacing w:after="0" w:line="240" w:lineRule="auto"/>
    </w:pPr>
  </w:style>
  <w:style w:type="character" w:customStyle="1" w:styleId="HeaderChar">
    <w:name w:val="Header Char"/>
    <w:basedOn w:val="DefaultParagraphFont"/>
    <w:link w:val="Header"/>
    <w:rsid w:val="00BB1AA1"/>
  </w:style>
  <w:style w:type="paragraph" w:styleId="Footer">
    <w:name w:val="footer"/>
    <w:basedOn w:val="Normal"/>
    <w:link w:val="FooterChar"/>
    <w:uiPriority w:val="99"/>
    <w:unhideWhenUsed/>
    <w:rsid w:val="00BB1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A1"/>
  </w:style>
  <w:style w:type="table" w:styleId="TableGrid">
    <w:name w:val="Table Grid"/>
    <w:basedOn w:val="TableNormal"/>
    <w:uiPriority w:val="39"/>
    <w:rsid w:val="00B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68C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B68CE"/>
    <w:pPr>
      <w:outlineLvl w:val="9"/>
    </w:pPr>
    <w:rPr>
      <w:lang w:val="en-US"/>
    </w:rPr>
  </w:style>
  <w:style w:type="paragraph" w:styleId="TOC1">
    <w:name w:val="toc 1"/>
    <w:basedOn w:val="Normal"/>
    <w:next w:val="Normal"/>
    <w:autoRedefine/>
    <w:uiPriority w:val="39"/>
    <w:unhideWhenUsed/>
    <w:rsid w:val="00F2342B"/>
    <w:pPr>
      <w:spacing w:after="100"/>
    </w:pPr>
  </w:style>
  <w:style w:type="character" w:styleId="Hyperlink">
    <w:name w:val="Hyperlink"/>
    <w:basedOn w:val="DefaultParagraphFont"/>
    <w:uiPriority w:val="99"/>
    <w:unhideWhenUsed/>
    <w:rsid w:val="00F2342B"/>
    <w:rPr>
      <w:color w:val="0563C1" w:themeColor="hyperlink"/>
      <w:u w:val="single"/>
    </w:rPr>
  </w:style>
  <w:style w:type="paragraph" w:styleId="ListParagraph">
    <w:name w:val="List Paragraph"/>
    <w:basedOn w:val="Normal"/>
    <w:uiPriority w:val="34"/>
    <w:qFormat/>
    <w:rsid w:val="0037702D"/>
    <w:pPr>
      <w:ind w:left="720"/>
      <w:contextualSpacing/>
    </w:pPr>
  </w:style>
  <w:style w:type="paragraph" w:styleId="BalloonText">
    <w:name w:val="Balloon Text"/>
    <w:basedOn w:val="Normal"/>
    <w:link w:val="BalloonTextChar"/>
    <w:uiPriority w:val="99"/>
    <w:semiHidden/>
    <w:unhideWhenUsed/>
    <w:rsid w:val="00D36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B7"/>
    <w:rPr>
      <w:rFonts w:ascii="Segoe UI" w:hAnsi="Segoe UI" w:cs="Segoe UI"/>
      <w:sz w:val="18"/>
      <w:szCs w:val="18"/>
    </w:rPr>
  </w:style>
  <w:style w:type="character" w:styleId="UnresolvedMention">
    <w:name w:val="Unresolved Mention"/>
    <w:basedOn w:val="DefaultParagraphFont"/>
    <w:uiPriority w:val="99"/>
    <w:semiHidden/>
    <w:unhideWhenUsed/>
    <w:rsid w:val="00D9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252460">
      <w:bodyDiv w:val="1"/>
      <w:marLeft w:val="0"/>
      <w:marRight w:val="0"/>
      <w:marTop w:val="0"/>
      <w:marBottom w:val="0"/>
      <w:divBdr>
        <w:top w:val="none" w:sz="0" w:space="0" w:color="auto"/>
        <w:left w:val="none" w:sz="0" w:space="0" w:color="auto"/>
        <w:bottom w:val="none" w:sz="0" w:space="0" w:color="auto"/>
        <w:right w:val="none" w:sz="0" w:space="0" w:color="auto"/>
      </w:divBdr>
    </w:div>
    <w:div w:id="339309063">
      <w:bodyDiv w:val="1"/>
      <w:marLeft w:val="0"/>
      <w:marRight w:val="0"/>
      <w:marTop w:val="0"/>
      <w:marBottom w:val="0"/>
      <w:divBdr>
        <w:top w:val="none" w:sz="0" w:space="0" w:color="auto"/>
        <w:left w:val="none" w:sz="0" w:space="0" w:color="auto"/>
        <w:bottom w:val="none" w:sz="0" w:space="0" w:color="auto"/>
        <w:right w:val="none" w:sz="0" w:space="0" w:color="auto"/>
      </w:divBdr>
    </w:div>
    <w:div w:id="383601983">
      <w:bodyDiv w:val="1"/>
      <w:marLeft w:val="0"/>
      <w:marRight w:val="0"/>
      <w:marTop w:val="0"/>
      <w:marBottom w:val="0"/>
      <w:divBdr>
        <w:top w:val="none" w:sz="0" w:space="0" w:color="auto"/>
        <w:left w:val="none" w:sz="0" w:space="0" w:color="auto"/>
        <w:bottom w:val="none" w:sz="0" w:space="0" w:color="auto"/>
        <w:right w:val="none" w:sz="0" w:space="0" w:color="auto"/>
      </w:divBdr>
    </w:div>
    <w:div w:id="396906214">
      <w:bodyDiv w:val="1"/>
      <w:marLeft w:val="0"/>
      <w:marRight w:val="0"/>
      <w:marTop w:val="0"/>
      <w:marBottom w:val="0"/>
      <w:divBdr>
        <w:top w:val="none" w:sz="0" w:space="0" w:color="auto"/>
        <w:left w:val="none" w:sz="0" w:space="0" w:color="auto"/>
        <w:bottom w:val="none" w:sz="0" w:space="0" w:color="auto"/>
        <w:right w:val="none" w:sz="0" w:space="0" w:color="auto"/>
      </w:divBdr>
    </w:div>
    <w:div w:id="635574647">
      <w:bodyDiv w:val="1"/>
      <w:marLeft w:val="0"/>
      <w:marRight w:val="0"/>
      <w:marTop w:val="0"/>
      <w:marBottom w:val="0"/>
      <w:divBdr>
        <w:top w:val="none" w:sz="0" w:space="0" w:color="auto"/>
        <w:left w:val="none" w:sz="0" w:space="0" w:color="auto"/>
        <w:bottom w:val="none" w:sz="0" w:space="0" w:color="auto"/>
        <w:right w:val="none" w:sz="0" w:space="0" w:color="auto"/>
      </w:divBdr>
    </w:div>
    <w:div w:id="731348396">
      <w:bodyDiv w:val="1"/>
      <w:marLeft w:val="0"/>
      <w:marRight w:val="0"/>
      <w:marTop w:val="0"/>
      <w:marBottom w:val="0"/>
      <w:divBdr>
        <w:top w:val="none" w:sz="0" w:space="0" w:color="auto"/>
        <w:left w:val="none" w:sz="0" w:space="0" w:color="auto"/>
        <w:bottom w:val="none" w:sz="0" w:space="0" w:color="auto"/>
        <w:right w:val="none" w:sz="0" w:space="0" w:color="auto"/>
      </w:divBdr>
    </w:div>
    <w:div w:id="842748095">
      <w:bodyDiv w:val="1"/>
      <w:marLeft w:val="0"/>
      <w:marRight w:val="0"/>
      <w:marTop w:val="0"/>
      <w:marBottom w:val="0"/>
      <w:divBdr>
        <w:top w:val="none" w:sz="0" w:space="0" w:color="auto"/>
        <w:left w:val="none" w:sz="0" w:space="0" w:color="auto"/>
        <w:bottom w:val="none" w:sz="0" w:space="0" w:color="auto"/>
        <w:right w:val="none" w:sz="0" w:space="0" w:color="auto"/>
      </w:divBdr>
    </w:div>
    <w:div w:id="850141672">
      <w:bodyDiv w:val="1"/>
      <w:marLeft w:val="0"/>
      <w:marRight w:val="0"/>
      <w:marTop w:val="0"/>
      <w:marBottom w:val="0"/>
      <w:divBdr>
        <w:top w:val="none" w:sz="0" w:space="0" w:color="auto"/>
        <w:left w:val="none" w:sz="0" w:space="0" w:color="auto"/>
        <w:bottom w:val="none" w:sz="0" w:space="0" w:color="auto"/>
        <w:right w:val="none" w:sz="0" w:space="0" w:color="auto"/>
      </w:divBdr>
    </w:div>
    <w:div w:id="1106580272">
      <w:bodyDiv w:val="1"/>
      <w:marLeft w:val="0"/>
      <w:marRight w:val="0"/>
      <w:marTop w:val="0"/>
      <w:marBottom w:val="0"/>
      <w:divBdr>
        <w:top w:val="none" w:sz="0" w:space="0" w:color="auto"/>
        <w:left w:val="none" w:sz="0" w:space="0" w:color="auto"/>
        <w:bottom w:val="none" w:sz="0" w:space="0" w:color="auto"/>
        <w:right w:val="none" w:sz="0" w:space="0" w:color="auto"/>
      </w:divBdr>
    </w:div>
    <w:div w:id="1222252785">
      <w:bodyDiv w:val="1"/>
      <w:marLeft w:val="0"/>
      <w:marRight w:val="0"/>
      <w:marTop w:val="0"/>
      <w:marBottom w:val="0"/>
      <w:divBdr>
        <w:top w:val="none" w:sz="0" w:space="0" w:color="auto"/>
        <w:left w:val="none" w:sz="0" w:space="0" w:color="auto"/>
        <w:bottom w:val="none" w:sz="0" w:space="0" w:color="auto"/>
        <w:right w:val="none" w:sz="0" w:space="0" w:color="auto"/>
      </w:divBdr>
    </w:div>
    <w:div w:id="1445075137">
      <w:bodyDiv w:val="1"/>
      <w:marLeft w:val="0"/>
      <w:marRight w:val="0"/>
      <w:marTop w:val="0"/>
      <w:marBottom w:val="0"/>
      <w:divBdr>
        <w:top w:val="none" w:sz="0" w:space="0" w:color="auto"/>
        <w:left w:val="none" w:sz="0" w:space="0" w:color="auto"/>
        <w:bottom w:val="none" w:sz="0" w:space="0" w:color="auto"/>
        <w:right w:val="none" w:sz="0" w:space="0" w:color="auto"/>
      </w:divBdr>
    </w:div>
    <w:div w:id="1446536441">
      <w:bodyDiv w:val="1"/>
      <w:marLeft w:val="0"/>
      <w:marRight w:val="0"/>
      <w:marTop w:val="0"/>
      <w:marBottom w:val="0"/>
      <w:divBdr>
        <w:top w:val="none" w:sz="0" w:space="0" w:color="auto"/>
        <w:left w:val="none" w:sz="0" w:space="0" w:color="auto"/>
        <w:bottom w:val="none" w:sz="0" w:space="0" w:color="auto"/>
        <w:right w:val="none" w:sz="0" w:space="0" w:color="auto"/>
      </w:divBdr>
    </w:div>
    <w:div w:id="1572039995">
      <w:bodyDiv w:val="1"/>
      <w:marLeft w:val="0"/>
      <w:marRight w:val="0"/>
      <w:marTop w:val="0"/>
      <w:marBottom w:val="0"/>
      <w:divBdr>
        <w:top w:val="none" w:sz="0" w:space="0" w:color="auto"/>
        <w:left w:val="none" w:sz="0" w:space="0" w:color="auto"/>
        <w:bottom w:val="none" w:sz="0" w:space="0" w:color="auto"/>
        <w:right w:val="none" w:sz="0" w:space="0" w:color="auto"/>
      </w:divBdr>
    </w:div>
    <w:div w:id="1795951625">
      <w:bodyDiv w:val="1"/>
      <w:marLeft w:val="0"/>
      <w:marRight w:val="0"/>
      <w:marTop w:val="0"/>
      <w:marBottom w:val="0"/>
      <w:divBdr>
        <w:top w:val="none" w:sz="0" w:space="0" w:color="auto"/>
        <w:left w:val="none" w:sz="0" w:space="0" w:color="auto"/>
        <w:bottom w:val="none" w:sz="0" w:space="0" w:color="auto"/>
        <w:right w:val="none" w:sz="0" w:space="0" w:color="auto"/>
      </w:divBdr>
    </w:div>
    <w:div w:id="1853449914">
      <w:bodyDiv w:val="1"/>
      <w:marLeft w:val="0"/>
      <w:marRight w:val="0"/>
      <w:marTop w:val="0"/>
      <w:marBottom w:val="0"/>
      <w:divBdr>
        <w:top w:val="none" w:sz="0" w:space="0" w:color="auto"/>
        <w:left w:val="none" w:sz="0" w:space="0" w:color="auto"/>
        <w:bottom w:val="none" w:sz="0" w:space="0" w:color="auto"/>
        <w:right w:val="none" w:sz="0" w:space="0" w:color="auto"/>
      </w:divBdr>
    </w:div>
    <w:div w:id="19809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dsconservatoir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laints@leedsconservatoir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3751-9320-4FCD-B4BF-9ADC86E1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Leeds College of Music</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Pegg,James</dc:creator>
  <cp:keywords/>
  <dc:description/>
  <cp:lastModifiedBy>Cohen,Hayden</cp:lastModifiedBy>
  <cp:revision>4</cp:revision>
  <cp:lastPrinted>2019-02-08T14:05:00Z</cp:lastPrinted>
  <dcterms:created xsi:type="dcterms:W3CDTF">2023-03-07T15:04:00Z</dcterms:created>
  <dcterms:modified xsi:type="dcterms:W3CDTF">2023-03-09T13:30:00Z</dcterms:modified>
</cp:coreProperties>
</file>